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замечания-к-t012-редакция-20"/>
    <w:p>
      <w:pPr>
        <w:pStyle w:val="Heading1"/>
      </w:pPr>
      <w:r>
        <w:t xml:space="preserve">Замечания к T01.2, редакция 2.0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(T01.2) ·</w:t>
      </w:r>
      <w:r>
        <w:t xml:space="preserve"> </w:t>
      </w:r>
      <w:r>
        <w:rPr>
          <w:bCs/>
          <w:b/>
        </w:rPr>
        <w:t xml:space="preserve">Эпик: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15 октября 2026 года</w:t>
      </w:r>
    </w:p>
    <w:p>
      <w:pPr>
        <w:pStyle w:val="BodyText"/>
      </w:pPr>
      <w:r>
        <w:rPr>
          <w:bCs/>
          <w:b/>
        </w:rPr>
        <w:t xml:space="preserve">Что проверялось.</w:t>
      </w:r>
      <w:r>
        <w:t xml:space="preserve"> </w:t>
      </w:r>
      <w:r>
        <w:t xml:space="preserve">Редакция 2.0 документа «API управления маршрутами с фиксированной стоимостью» сверена с согласованной моделью</w:t>
      </w:r>
      <w:r>
        <w:t xml:space="preserve"> </w:t>
      </w:r>
      <w:r>
        <w:rPr>
          <w:bCs/>
          <w:b/>
        </w:rPr>
        <w:t xml:space="preserve">T01.1 (TRANSPORT-45585)</w:t>
      </w:r>
      <w:r>
        <w:t xml:space="preserve">, с ответами архитектора и с исходным кодом платформы.</w:t>
      </w:r>
    </w:p>
    <w:p>
      <w:pPr>
        <w:pStyle w:val="BodyText"/>
      </w:pPr>
      <w:r>
        <w:rPr>
          <w:bCs/>
          <w:b/>
        </w:rPr>
        <w:t xml:space="preserve">Приоритет источников.</w:t>
      </w:r>
      <w:r>
        <w:t xml:space="preserve"> </w:t>
      </w:r>
      <w:r>
        <w:t xml:space="preserve">Согласованная T01.1 — старшая. Ответы архитектора второстепенны перед ней. Исходный код не меняет согласованных решений, но показывает, выполнимы ли они и к чему приведут; там, где редакция 2.0 опирается на описание платформы, расхождение с кодом отмечено прямо.</w:t>
      </w:r>
    </w:p>
    <w:p>
      <w:pPr>
        <w:pStyle w:val="BodyText"/>
      </w:pPr>
      <w:r>
        <w:rPr>
          <w:bCs/>
          <w:b/>
        </w:rPr>
        <w:t xml:space="preserve">Оговорка об объёме проверки.</w:t>
      </w:r>
      <w:r>
        <w:t xml:space="preserve"> </w:t>
      </w:r>
      <w:r>
        <w:t xml:space="preserve">Все выводы о расчёте получены по</w:t>
      </w:r>
      <w:r>
        <w:t xml:space="preserve"> </w:t>
      </w:r>
      <w:r>
        <w:rPr>
          <w:bCs/>
          <w:b/>
        </w:rPr>
        <w:t xml:space="preserve">пассажирскому</w:t>
      </w:r>
      <w:r>
        <w:t xml:space="preserve"> </w:t>
      </w:r>
      <w:r>
        <w:t xml:space="preserve">тарифному сервису (</w:t>
      </w:r>
      <w:r>
        <w:rPr>
          <w:rStyle w:val="VerbatimChar"/>
        </w:rPr>
        <w:t xml:space="preserve">tariff-main</w:t>
      </w:r>
      <w:r>
        <w:t xml:space="preserve">). Исходников</w:t>
      </w:r>
      <w:r>
        <w:t xml:space="preserve"> </w:t>
      </w:r>
      <w:r>
        <w:rPr>
          <w:rStyle w:val="VerbatimChar"/>
        </w:rPr>
        <w:t xml:space="preserve">tariff-cargo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route-cargo</w:t>
      </w:r>
      <w:r>
        <w:t xml:space="preserve"> </w:t>
      </w:r>
      <w:r>
        <w:t xml:space="preserve">в наборе нет. Для T01.2 это не ограничение: справочник обслуживает</w:t>
      </w:r>
      <w:r>
        <w:t xml:space="preserve"> </w:t>
      </w:r>
      <w:r>
        <w:rPr>
          <w:rStyle w:val="VerbatimChar"/>
        </w:rPr>
        <w:t xml:space="preserve">TAXI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GROUP_TRANSFER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cc0296e12c69100fc9143dda2313be26296ba24"/>
    <w:p>
      <w:pPr>
        <w:pStyle w:val="Heading2"/>
      </w:pPr>
      <w:r>
        <w:t xml:space="preserve">1 Общая оценка</w:t>
      </w:r>
    </w:p>
    <w:p>
      <w:pPr>
        <w:pStyle w:val="FirstParagraph"/>
      </w:pPr>
      <w:r>
        <w:t xml:space="preserve">Редакция 2.0 заметно строже черновика. Разделение «подтверждено заказчиком / модель / исследование источника / предложение T01.2» снимает главный недостаток прежних редакций — выдачу собственных выводов за чьё-то согласие. Протокол блокировок (§4.1), матрица пересчёта (§2.6), разделение «тарифов нет» и «не удалось проверить» (§3.6) и каталог ошибок (§6.2) можно брать в реализацию.</w:t>
      </w:r>
    </w:p>
    <w:p>
      <w:pPr>
        <w:pStyle w:val="BodyText"/>
      </w:pPr>
      <w:r>
        <w:t xml:space="preserve">Замечания ниже делятся на четыре группы: расхождения с согласованной T01.1 (раздел 2); замечания к самой T01.1 (раздел 3); ответы на вопросы, которые архитектор оставил открытыми, — они закрываются кодом (раздел 4); находки по коду, меняющие решения редакции 2.0 (раздел 5).</w:t>
      </w:r>
    </w:p>
    <w:p>
      <w:r>
        <w:pict>
          <v:rect style="width:0;height:1.5pt" o:hralign="center" o:hrstd="t" o:hr="t"/>
        </w:pict>
      </w:r>
    </w:p>
    <w:bookmarkEnd w:id="20"/>
    <w:bookmarkStart w:id="26" w:name="Xc53ec12568ad406f1e7233244d99fe788b7e212"/>
    <w:p>
      <w:pPr>
        <w:pStyle w:val="Heading2"/>
      </w:pPr>
      <w:r>
        <w:t xml:space="preserve">2 Расхождения с согласованной T01.1</w:t>
      </w:r>
    </w:p>
    <w:bookmarkStart w:id="21" w:name="X3d76db73fac04a8bc694ef82a04e0c6c21ffbf3"/>
    <w:p>
      <w:pPr>
        <w:pStyle w:val="Heading3"/>
      </w:pPr>
      <w:r>
        <w:t xml:space="preserve">2.1 Вопросы З1–З3 объявлены закрытыми, а в T01.1 они открыты —</w:t>
      </w:r>
      <w:r>
        <w:t xml:space="preserve"> </w:t>
      </w:r>
      <w:r>
        <w:rPr>
          <w:bCs/>
          <w:b/>
        </w:rPr>
        <w:t xml:space="preserve">блокирующее</w:t>
      </w:r>
    </w:p>
    <w:p>
      <w:pPr>
        <w:pStyle w:val="FirstParagraph"/>
      </w:pPr>
      <w:r>
        <w:t xml:space="preserve">Редакция 2.0 (§1.2, §8.1) утверждает: «З1–З3 закрыты», «упоминания З1–З3 как открытых в S1 — редакционные остатки». Согласованная T01.1 в разделе «Статус модели» говорит обратное: «Открыты только вопросы заказчику З1–З3».</w:t>
      </w:r>
    </w:p>
    <w:p>
      <w:pPr>
        <w:pStyle w:val="BodyText"/>
      </w:pPr>
      <w:r>
        <w:t xml:space="preserve">Поскольку T01.1 — старший источник, объявить их закрытыми редакция T01.2 своей властью не может. Конкретно это затрагивает: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утверждает редакция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говорит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§1.1: «Истёкшую запись можно продлить»; §1.3 и §2.5: «validTo можно увеличить, в том числе у истёкшей записи»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§5, «Период и жизненный цикл»: «продление истёкшей записи — З2», то есть вопрос открыт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§2.5: «validFrom после создания неизменна»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полей: «возможность редактирования отсутствует» (решено), но §5: «Возможность переноса начальной даты назад требует ответа З1»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По каждому из З1–З3 либо привести ссылку на ответ заказчика от 15.10 с датой и формулировкой, либо вернуть вопрос в открытые и описать поведение как предложение. Продление истёкшей записи — не деталь: от него зависят §2.5, §2.6 (строка «только увеличение validTo»), §3.4, каталог ошибок и тесты §7.2.</w:t>
      </w:r>
    </w:p>
    <w:bookmarkEnd w:id="21"/>
    <w:bookmarkStart w:id="22" w:name="Xfde4aa6fe9005b6c0d873efe3e82e1d1d9c04cb"/>
    <w:p>
      <w:pPr>
        <w:pStyle w:val="Heading3"/>
      </w:pPr>
      <w:r>
        <w:t xml:space="preserve">2.2 Содержание З3 не определено ни в одном документе</w:t>
      </w:r>
    </w:p>
    <w:p>
      <w:pPr>
        <w:pStyle w:val="FirstParagraph"/>
      </w:pPr>
      <w:r>
        <w:t xml:space="preserve">T01.1 ссылается на З1–З3, но описывает только З1 и З2; раздела 8, на который ссылается статус модели, в документе нет. Редакция 2.0 закрывает «З1–З3», не называя, что такое З3.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Либо восстановить формулировку З3 в T01.1, либо убрать его из перечня открытых. До этого фраза «З1–З3 закрыты» в T01.2 неподтверждаема в принципе.</w:t>
      </w:r>
    </w:p>
    <w:bookmarkEnd w:id="22"/>
    <w:bookmarkStart w:id="23" w:name="X109200a6f8fb890de0c8bde1b0e313feb103c6f"/>
    <w:p>
      <w:pPr>
        <w:pStyle w:val="Heading3"/>
      </w:pPr>
      <w:r>
        <w:t xml:space="preserve">2.3 Кто заполняет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первой точки — ответственность не назначена —</w:t>
      </w:r>
      <w:r>
        <w:t xml:space="preserve"> </w:t>
      </w:r>
      <w:r>
        <w:rPr>
          <w:bCs/>
          <w:b/>
        </w:rPr>
        <w:t xml:space="preserve">блокирующее</w:t>
      </w:r>
    </w:p>
    <w:p>
      <w:pPr>
        <w:pStyle w:val="FirstParagraph"/>
      </w:pPr>
      <w:r>
        <w:t xml:space="preserve">T01.1 (§4): «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обязателен и непустой у первой точки». Кто его заполняет, модель не определяет.</w:t>
      </w:r>
    </w:p>
    <w:p>
      <w:pPr>
        <w:pStyle w:val="BodyText"/>
      </w:pPr>
      <w:r>
        <w:t xml:space="preserve">Редакция 2.0 (§3.1, шаг 2): «Ручные точки не дополнять обязательным обратным геокодированием. Отсутствующий region первой точки — 400 до вызовов зависимостей». То есть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обязан прислать клиент.</w:t>
      </w:r>
    </w:p>
    <w:p>
      <w:pPr>
        <w:pStyle w:val="BodyText"/>
      </w:pPr>
      <w:r>
        <w:t xml:space="preserve">Ответ архитектора А10 прямо противоположен: «для первой точки с ручными координатами обратное геокодирование обязательно: без региона тариф не найдётся», и при пустом ответе — отказ 422.</w:t>
      </w:r>
    </w:p>
    <w:p>
      <w:pPr>
        <w:pStyle w:val="BodyText"/>
      </w:pPr>
      <w:r>
        <w:t xml:space="preserve">Формально T01.1 молчит, поэтому выбор открыт. Но в редакции 2.0 он не закрыт</w:t>
      </w:r>
      <w:r>
        <w:t xml:space="preserve"> </w:t>
      </w:r>
      <w:r>
        <w:rPr>
          <w:bCs/>
          <w:b/>
        </w:rPr>
        <w:t xml:space="preserve">ни за кем</w:t>
      </w:r>
      <w:r>
        <w:t xml:space="preserve">: T01.2 геокодирование выполнять отказывается, а в перечне ответственности T01.3 (§1.1) обратного геокодирования нет. При ручном вводе координат на карте взять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неоткуда, и создание маршрута станет невозможным — ровно для того случая, ради которого ручной ввод и вводился (решение заказчика 08.10).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Назначить ответственность явно: либо T01.3 обязан получить адрес по координатам перед отправкой, либо T01.2 выполняет обратное геокодирование для первой точки. Второе соответствует А10. Какой бы вариант ни выбрали, его нужно внести в §1.1 и §3.1.</w:t>
      </w:r>
    </w:p>
    <w:bookmarkEnd w:id="23"/>
    <w:bookmarkStart w:id="24" w:name="Xc5751e941a5de41114fa7c2777d1964118fe8e2"/>
    <w:p>
      <w:pPr>
        <w:pStyle w:val="Heading3"/>
      </w:pPr>
      <w:r>
        <w:t xml:space="preserve">2.4 Нормализация координат в ключе дубля расходится с А3</w:t>
      </w:r>
    </w:p>
    <w:p>
      <w:pPr>
        <w:pStyle w:val="FirstParagraph"/>
      </w:pPr>
      <w:r>
        <w:t xml:space="preserve">T01.1: «Координаты сохраняются с исходной точностью»; бизнес-ключ — «координаты точек по порядку». О нормализации модель молчит.</w:t>
      </w:r>
    </w:p>
    <w:p>
      <w:pPr>
        <w:pStyle w:val="BodyText"/>
      </w:pPr>
      <w:r>
        <w:t xml:space="preserve">Редакция 2.0 (§4.1): «Значения координат не округляются: 55.750 и 55.75 равны, 55.7500001 и 55.75 различны».</w:t>
      </w:r>
    </w:p>
    <w:p>
      <w:pPr>
        <w:pStyle w:val="BodyText"/>
      </w:pPr>
      <w:r>
        <w:t xml:space="preserve">Архитектор (А3) просит округлять до фиксированного числа знаков, например шести, «иначе одна и та же точка, пришедшая разными путями, даст разный хеш».</w:t>
      </w:r>
    </w:p>
    <w:p>
      <w:pPr>
        <w:pStyle w:val="BodyText"/>
      </w:pPr>
      <w:r>
        <w:t xml:space="preserve">Редакция 2.0 отвечает на другое: она нормализует</w:t>
      </w:r>
      <w:r>
        <w:t xml:space="preserve"> </w:t>
      </w:r>
      <w:r>
        <w:rPr>
          <w:bCs/>
          <w:b/>
        </w:rPr>
        <w:t xml:space="preserve">формат</w:t>
      </w:r>
      <w:r>
        <w:t xml:space="preserve"> </w:t>
      </w:r>
      <w:r>
        <w:t xml:space="preserve">записи (без экспоненты, без лишних нулей, −0 → 0), а архитектор говорит о</w:t>
      </w:r>
      <w:r>
        <w:t xml:space="preserve"> </w:t>
      </w:r>
      <w:r>
        <w:rPr>
          <w:bCs/>
          <w:b/>
        </w:rPr>
        <w:t xml:space="preserve">значении</w:t>
      </w:r>
      <w:r>
        <w:t xml:space="preserve">. Шесть знаков — это около 11 см; точка, полученная из адресного сервиса и выбранная на карте, в последнем знаке совпадать не обязана.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Это решение, а не спор: записать выбор прямо. Если оставляем точное сравнение, нужно сказать, что дубли различаются при расхождении в сантиметрах, и это приемлемо. Если округляем — указать число знаков и то, что округление применяется</w:t>
      </w:r>
      <w:r>
        <w:t xml:space="preserve"> </w:t>
      </w:r>
      <w:r>
        <w:rPr>
          <w:bCs/>
          <w:b/>
        </w:rPr>
        <w:t xml:space="preserve">только к ключу</w:t>
      </w:r>
      <w:r>
        <w:t xml:space="preserve">, а в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сохраняется исходная точность (T01.1 этого требует).</w:t>
      </w:r>
    </w:p>
    <w:bookmarkEnd w:id="24"/>
    <w:bookmarkStart w:id="25" w:name="X29cab7cd3c5f2612f1d5419be7d71d46d8ec9da"/>
    <w:p>
      <w:pPr>
        <w:pStyle w:val="Heading3"/>
      </w:pPr>
      <w:r>
        <w:t xml:space="preserve">2.5 Служебные таблицы T01.1 подтверждены кодом — расхождений нет</w:t>
      </w:r>
    </w:p>
    <w:p>
      <w:pPr>
        <w:pStyle w:val="FirstParagraph"/>
      </w:pPr>
      <w:r>
        <w:t xml:space="preserve">Проверено: состав</w:t>
      </w:r>
      <w:r>
        <w:t xml:space="preserve"> </w:t>
      </w:r>
      <w:r>
        <w:rPr>
          <w:rStyle w:val="VerbatimChar"/>
        </w:rPr>
        <w:t xml:space="preserve">company_sq</w:t>
      </w:r>
      <w:r>
        <w:t xml:space="preserve"> </w:t>
      </w:r>
      <w:r>
        <w:t xml:space="preserve">в T01.1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orgdigitid</w:t>
      </w:r>
      <w:r>
        <w:t xml:space="preserve">,</w:t>
      </w:r>
      <w:r>
        <w:t xml:space="preserve"> </w:t>
      </w:r>
      <w:r>
        <w:rPr>
          <w:rStyle w:val="VerbatimChar"/>
        </w:rPr>
        <w:t xml:space="preserve">sq</w:t>
      </w:r>
      <w:r>
        <w:t xml:space="preserve">,</w:t>
      </w:r>
      <w:r>
        <w:t xml:space="preserve"> </w:t>
      </w:r>
      <w:r>
        <w:rPr>
          <w:rStyle w:val="VerbatimChar"/>
        </w:rPr>
        <w:t xml:space="preserve">dt_insert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dt_modify</w:t>
      </w:r>
      <w:r>
        <w:t xml:space="preserve">, уникальные</w:t>
      </w:r>
      <w:r>
        <w:t xml:space="preserve"> </w:t>
      </w:r>
      <w:r>
        <w:rPr>
          <w:rStyle w:val="VerbatimChar"/>
        </w:rPr>
        <w:t xml:space="preserve">(prefix, orgdigitid)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(prefix, orgdigitid, sq)</w:t>
      </w:r>
      <w:r>
        <w:t xml:space="preserve">)</w:t>
      </w:r>
      <w:r>
        <w:t xml:space="preserve"> </w:t>
      </w:r>
      <w:r>
        <w:rPr>
          <w:bCs/>
          <w:b/>
        </w:rPr>
        <w:t xml:space="preserve">дословно совпадает</w:t>
      </w:r>
      <w:r>
        <w:t xml:space="preserve"> </w:t>
      </w:r>
      <w:r>
        <w:t xml:space="preserve">с таблицей, которую платформа создаёт в сервисе заявок. Состав</w:t>
      </w:r>
      <w:r>
        <w:t xml:space="preserve"> </w:t>
      </w:r>
      <w:r>
        <w:rPr>
          <w:rStyle w:val="VerbatimChar"/>
        </w:rPr>
        <w:t xml:space="preserve">urls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в T01.1</w:t>
      </w:r>
      <w:r>
        <w:t xml:space="preserve"> </w:t>
      </w:r>
      <w:r>
        <w:rPr>
          <w:bCs/>
          <w:b/>
        </w:rPr>
        <w:t xml:space="preserve">дословно совпадает</w:t>
      </w:r>
      <w:r>
        <w:t xml:space="preserve"> </w:t>
      </w:r>
      <w:r>
        <w:t xml:space="preserve">с тем, что создаёт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DatabaseRolesMigration</w:t>
      </w:r>
      <w:r>
        <w:t xml:space="preserve">):</w:t>
      </w:r>
      <w:r>
        <w:t xml:space="preserve"> </w:t>
      </w:r>
      <w:r>
        <w:rPr>
          <w:rStyle w:val="VerbatimChar"/>
        </w:rPr>
        <w:t xml:space="preserve">urls(id, url, pattern, method)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UNIQUE(url, method)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UNIQUE(url, method, pattern)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roles(role, url_id)</w:t>
      </w:r>
      <w:r>
        <w:t xml:space="preserve"> </w:t>
      </w:r>
      <w:r>
        <w:t xml:space="preserve">с составным первичным ключом.</w:t>
      </w:r>
    </w:p>
    <w:p>
      <w:pPr>
        <w:pStyle w:val="BodyText"/>
      </w:pPr>
      <w:r>
        <w:t xml:space="preserve">Следствие для §4.2 редакции 2.0: предложенный SQL с</w:t>
      </w:r>
      <w:r>
        <w:t xml:space="preserve"> </w:t>
      </w:r>
      <w:r>
        <w:rPr>
          <w:rStyle w:val="VerbatimChar"/>
        </w:rPr>
        <w:t xml:space="preserve">ON CONFLICT (prefix, orgdigitid)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 sq = sq + 1, dt_modify = :savedAt</w:t>
      </w:r>
      <w:r>
        <w:t xml:space="preserve"> </w:t>
      </w:r>
      <w:r>
        <w:rPr>
          <w:bCs/>
          <w:b/>
        </w:rPr>
        <w:t xml:space="preserve">выполним на согласованной схеме</w:t>
      </w:r>
      <w:r>
        <w:t xml:space="preserve"> </w:t>
      </w:r>
      <w:r>
        <w:t xml:space="preserve">— колонка</w:t>
      </w:r>
      <w:r>
        <w:t xml:space="preserve"> </w:t>
      </w:r>
      <w:r>
        <w:rPr>
          <w:rStyle w:val="VerbatimChar"/>
        </w:rPr>
        <w:t xml:space="preserve">dt_modify</w:t>
      </w:r>
      <w:r>
        <w:t xml:space="preserve"> </w:t>
      </w:r>
      <w:r>
        <w:t xml:space="preserve">есть, нужный уникальный индекс есть. Возражений нет.</w:t>
      </w:r>
    </w:p>
    <w:p>
      <w:pPr>
        <w:pStyle w:val="BodyText"/>
      </w:pPr>
      <w:r>
        <w:t xml:space="preserve">Две оговорки для реализации. Первая: сущность библиотеки (</w:t>
      </w:r>
      <w:r>
        <w:rPr>
          <w:rStyle w:val="VerbatimChar"/>
        </w:rPr>
        <w:t xml:space="preserve">BaseCompanySQ</w:t>
      </w:r>
      <w:r>
        <w:t xml:space="preserve">) колонки</w:t>
      </w:r>
      <w:r>
        <w:t xml:space="preserve"> </w:t>
      </w:r>
      <w:r>
        <w:rPr>
          <w:rStyle w:val="VerbatimChar"/>
        </w:rPr>
        <w:t xml:space="preserve">dt_insert</w:t>
      </w:r>
      <w:r>
        <w:t xml:space="preserve">/</w:t>
      </w:r>
      <w:r>
        <w:rPr>
          <w:rStyle w:val="VerbatimChar"/>
        </w:rPr>
        <w:t xml:space="preserve">dt_modify</w:t>
      </w:r>
      <w:r>
        <w:t xml:space="preserve"> </w:t>
      </w:r>
      <w:r>
        <w:t xml:space="preserve">не отображает, поэтому штатный путь через JPA</w:t>
      </w:r>
      <w:r>
        <w:t xml:space="preserve"> </w:t>
      </w:r>
      <w:r>
        <w:rPr>
          <w:rStyle w:val="VerbatimChar"/>
        </w:rPr>
        <w:t xml:space="preserve">dt_modify</w:t>
      </w:r>
      <w:r>
        <w:t xml:space="preserve"> </w:t>
      </w:r>
      <w:r>
        <w:t xml:space="preserve">никогда не обновляет — предложенный SQL ведёт себя корректнее библиотеки, и это стоит отметить как сознательный отказ от её метода. Вторая: стартер прав создаёт</w:t>
      </w:r>
      <w:r>
        <w:t xml:space="preserve"> </w:t>
      </w:r>
      <w:r>
        <w:rPr>
          <w:rStyle w:val="VerbatimChar"/>
        </w:rPr>
        <w:t xml:space="preserve">urls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сам при старте, если таблицы отсутствуют, через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и проверку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. Конфликта с миграцией T01.1 не будет, но порядок «миграция раньше старта приложения» лучше зафиксировать.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387c8287d1b260ca16b4dd68b0de7d21f4d2b02"/>
    <w:p>
      <w:pPr>
        <w:pStyle w:val="Heading2"/>
      </w:pPr>
      <w:r>
        <w:t xml:space="preserve">3 Замечания к самой T01.1</w:t>
      </w:r>
    </w:p>
    <w:p>
      <w:pPr>
        <w:pStyle w:val="FirstParagraph"/>
      </w:pPr>
      <w:r>
        <w:t xml:space="preserve">Эти пункты не относятся к T01.2, но мешают на него ссылаться.</w:t>
      </w:r>
    </w:p>
    <w:bookmarkStart w:id="27" w:name="X9d67ec455223ed49ad2fbf7f36e0c4eeaeb5482"/>
    <w:p>
      <w:pPr>
        <w:pStyle w:val="Heading3"/>
      </w:pPr>
      <w:r>
        <w:t xml:space="preserve">3.1 Внутреннее противоречие по</w:t>
      </w:r>
      <w:r>
        <w:t xml:space="preserve"> </w:t>
      </w:r>
      <w:r>
        <w:rPr>
          <w:rStyle w:val="VerbatimChar"/>
        </w:rPr>
        <w:t xml:space="preserve">valid_from</w:t>
      </w:r>
    </w:p>
    <w:p>
      <w:pPr>
        <w:pStyle w:val="FirstParagraph"/>
      </w:pPr>
      <w:r>
        <w:t xml:space="preserve">Таблица полей раздела 3: «Возможность переноса начальной даты назад отсутствует – возможность редактирования отсутствует». Раздел 5: «Возможность переноса начальной даты назад требует ответа З1». Первое — решение, второе — открытый вопрос.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Оставить одну формулировку. Если решение принято, убрать ссылку на З1 из раздела 5; если нет — смягчить таблицу полей.</w:t>
      </w:r>
    </w:p>
    <w:bookmarkEnd w:id="27"/>
    <w:bookmarkStart w:id="28" w:name="Xad2f34991d7eb81fe371d907f152bb7048e7903"/>
    <w:p>
      <w:pPr>
        <w:pStyle w:val="Heading3"/>
      </w:pPr>
      <w:r>
        <w:t xml:space="preserve">3.2 Ссылка на отсутствующий раздел 8</w:t>
      </w:r>
    </w:p>
    <w:p>
      <w:pPr>
        <w:pStyle w:val="FirstParagraph"/>
      </w:pPr>
      <w:r>
        <w:t xml:space="preserve">Статус модели ссылается на раздел 8 с вопросами З1–З3; документ заканчивается приложением А. Раздела 8 нет.</w:t>
      </w:r>
    </w:p>
    <w:bookmarkEnd w:id="28"/>
    <w:bookmarkStart w:id="29" w:name="X034e86833a3b166e534e019f382c4f04214bcd7"/>
    <w:p>
      <w:pPr>
        <w:pStyle w:val="Heading3"/>
      </w:pPr>
      <w:r>
        <w:t xml:space="preserve">3.3 Опечатки</w:t>
      </w:r>
    </w:p>
    <w:p>
      <w:pPr>
        <w:pStyle w:val="FirstParagraph"/>
      </w:pPr>
      <w:r>
        <w:t xml:space="preserve">В разделе «Снимок автомобиля»: «Отсутствующие атрибуты опускаются..» — двойная точка. В таблице полей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отсутствует точка в конце; в разделе 5 «Период маршрута при сохранении не ограничивается сроком тарифа**.**» — разметка полужирного вокруг точки.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9e8c3751fdf985a6aac130f7e4b5931347091bf"/>
    <w:p>
      <w:pPr>
        <w:pStyle w:val="Heading2"/>
      </w:pPr>
      <w:r>
        <w:t xml:space="preserve">4 Вопросы архитектора, которые закрываются кодом</w:t>
      </w:r>
    </w:p>
    <w:p>
      <w:pPr>
        <w:pStyle w:val="FirstParagraph"/>
      </w:pPr>
      <w:r>
        <w:t xml:space="preserve">Архитектор отметил четыре места как «не хватает информации». Три из них отвечаются исходниками.</w:t>
      </w:r>
    </w:p>
    <w:bookmarkStart w:id="31" w:name="X4dea1d9e1a3776e34e240f7c4bc418918abf577"/>
    <w:p>
      <w:pPr>
        <w:pStyle w:val="Heading3"/>
      </w:pPr>
      <w:r>
        <w:t xml:space="preserve">4.1 А4: «У любого ли тарифа есть договор» — для нашего объёма да</w:t>
      </w:r>
    </w:p>
    <w:p>
      <w:pPr>
        <w:pStyle w:val="FirstParagraph"/>
      </w:pPr>
      <w:r>
        <w:t xml:space="preserve">Связь тарифа с договором объявлена как</w:t>
      </w:r>
      <w:r>
        <w:t xml:space="preserve"> </w:t>
      </w:r>
      <w:r>
        <w:rPr>
          <w:rStyle w:val="VerbatimChar"/>
        </w:rPr>
        <w:t xml:space="preserve">@ManyToOne @JoinColumn(name = "contract_id")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rPr>
          <w:rStyle w:val="VerbatimChar"/>
        </w:rPr>
        <w:t xml:space="preserve">nullable = false</w:t>
      </w:r>
      <w:r>
        <w:t xml:space="preserve">, то есть договор у тарифа может отсутствовать. Но в расчёте такси такие тарифы отбрасываются:</w:t>
      </w:r>
      <w:r>
        <w:t xml:space="preserve"> </w:t>
      </w:r>
      <w:r>
        <w:rPr>
          <w:rStyle w:val="VerbatimChar"/>
        </w:rPr>
        <w:t xml:space="preserve">processTaxiTariffs</w:t>
      </w:r>
      <w:r>
        <w:t xml:space="preserve"> </w:t>
      </w:r>
      <w:r>
        <w:t xml:space="preserve">содержит</w:t>
      </w:r>
      <w:r>
        <w:t xml:space="preserve"> </w:t>
      </w:r>
      <w:r>
        <w:rPr>
          <w:rStyle w:val="VerbatimChar"/>
        </w:rPr>
        <w:t xml:space="preserve">.filter(e -&gt; Objects.nonNull(e.getContract()))</w:t>
      </w:r>
      <w:r>
        <w:t xml:space="preserve">. Значит маршрут нельзя привязать к тарифу без договора — он не попадёт в перечень вариантов.</w:t>
      </w:r>
    </w:p>
    <w:p>
      <w:pPr>
        <w:pStyle w:val="BodyText"/>
      </w:pPr>
      <w:r>
        <w:rPr>
          <w:bCs/>
          <w:b/>
        </w:rPr>
        <w:t xml:space="preserve">Вывод:</w:t>
      </w:r>
      <w:r>
        <w:t xml:space="preserve"> </w:t>
      </w:r>
      <w:r>
        <w:rPr>
          <w:rStyle w:val="VerbatimChar"/>
        </w:rPr>
        <w:t xml:space="preserve">tariff_contract_id NOT NULL</w:t>
      </w:r>
      <w:r>
        <w:t xml:space="preserve"> </w:t>
      </w:r>
      <w:r>
        <w:t xml:space="preserve">в T01.1 безопасен. Доработка не требуется.</w:t>
      </w:r>
    </w:p>
    <w:p>
      <w:pPr>
        <w:pStyle w:val="BodyText"/>
      </w:pPr>
      <w:r>
        <w:rPr>
          <w:bCs/>
          <w:b/>
        </w:rPr>
        <w:t xml:space="preserve">Но есть дефект, который нас касается.</w:t>
      </w:r>
      <w:r>
        <w:t xml:space="preserve"> </w:t>
      </w:r>
      <w:r>
        <w:t xml:space="preserve">В расчёте группового трансфера того же фильтра нет:</w:t>
      </w:r>
      <w:r>
        <w:t xml:space="preserve"> </w:t>
      </w:r>
      <w:r>
        <w:rPr>
          <w:rStyle w:val="VerbatimChar"/>
        </w:rPr>
        <w:t xml:space="preserve">rawTariffs.stream().filter(q -&gt; q.getContract().getContractType() == ContractType.INCOME)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CalculateServiceImpl</w:t>
      </w:r>
      <w:r>
        <w:t xml:space="preserve">, строки 144 и 212) обращается к договору без проверки на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Если у организации есть тариф трансфера без договора, расчёт упадёт с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, то есть вернёт 5xx, а не «вариантов нет». Для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это тем более существенно. Стоит сообщить владельцу тарифного сервиса и учесть в §3.6: полный сбой поиска по трансферу возможен из-за данных, а не из-за недоступности.</w:t>
      </w:r>
    </w:p>
    <w:bookmarkEnd w:id="31"/>
    <w:bookmarkStart w:id="32" w:name="Xffdf92ae7ae230c0daeade31c1c52d1e300a8ae"/>
    <w:p>
      <w:pPr>
        <w:pStyle w:val="Heading3"/>
      </w:pPr>
      <w:r>
        <w:t xml:space="preserve">4.2 А1: «В каком типе хранят стоимость заявка и тарифный сервис» — копейки, и всегда целые рубли</w:t>
      </w:r>
    </w:p>
    <w:p>
      <w:pPr>
        <w:pStyle w:val="FirstParagraph"/>
      </w:pPr>
      <w:r>
        <w:t xml:space="preserve">Расчёт возвращает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типа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rPr>
          <w:bCs/>
          <w:b/>
        </w:rPr>
        <w:t xml:space="preserve">в копейках</w:t>
      </w:r>
      <w:r>
        <w:t xml:space="preserve">. Перед возвратом применяется округление</w:t>
      </w:r>
      <w:r>
        <w:t xml:space="preserve"> </w:t>
      </w:r>
      <w:r>
        <w:rPr>
          <w:rStyle w:val="VerbatimChar"/>
        </w:rPr>
        <w:t xml:space="preserve">Math.round(Math.round(calculated / 100.0)) * 100L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calculateByTransportType</w:t>
      </w:r>
      <w:r>
        <w:t xml:space="preserve">), то есть</w:t>
      </w:r>
      <w:r>
        <w:t xml:space="preserve"> </w:t>
      </w:r>
      <w:r>
        <w:rPr>
          <w:bCs/>
          <w:b/>
        </w:rPr>
        <w:t xml:space="preserve">до целых рублей</w:t>
      </w:r>
      <w:r>
        <w:t xml:space="preserve">: значение всегда кратно 100 копейкам. В сервисе заявок стоимость тоже в копейках.</w:t>
      </w:r>
    </w:p>
    <w:p>
      <w:pPr>
        <w:pStyle w:val="BodyText"/>
      </w:pPr>
      <w:r>
        <w:rPr>
          <w:bCs/>
          <w:b/>
        </w:rPr>
        <w:t xml:space="preserve">Вывод:</w:t>
      </w:r>
      <w:r>
        <w:t xml:space="preserve"> </w:t>
      </w:r>
      <w:r>
        <w:t xml:space="preserve">конвертации рубли↔копейки между T01.2, T01.4 и T04.1 не требуется; дробных рублей в контуре нет. В §2.4 и §5.3 стоит прямо записать, что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кратен 100 копейкам — это свойство источника, а не наше ограничение.</w:t>
      </w:r>
    </w:p>
    <w:bookmarkEnd w:id="32"/>
    <w:bookmarkStart w:id="33" w:name="Xcb396112cf128ac7801fb1f09d597adab194984"/>
    <w:p>
      <w:pPr>
        <w:pStyle w:val="Heading3"/>
      </w:pPr>
      <w:r>
        <w:t xml:space="preserve">4.3 А9: формула прочитана — делить нельзя, и проблема только у такси</w:t>
      </w:r>
    </w:p>
    <w:p>
      <w:pPr>
        <w:pStyle w:val="FirstParagraph"/>
      </w:pPr>
      <w:r>
        <w:t xml:space="preserve">Архитектор просил разобрать</w:t>
      </w:r>
      <w:r>
        <w:t xml:space="preserve"> </w:t>
      </w:r>
      <w:r>
        <w:rPr>
          <w:rStyle w:val="VerbatimChar"/>
        </w:rPr>
        <w:t xml:space="preserve">CalculateServiceImpl</w:t>
      </w:r>
      <w:r>
        <w:t xml:space="preserve"> </w:t>
      </w:r>
      <w:r>
        <w:t xml:space="preserve">около строки 1053 и проверить, не применяются ли минимальная стоимость или округление после умножения на коэффициент. Разобрано:</w:t>
      </w:r>
    </w:p>
    <w:p>
      <w:pPr>
        <w:pStyle w:val="BodyText"/>
      </w:pPr>
      <w:r>
        <w:rPr>
          <w:bCs/>
          <w:b/>
        </w:rPr>
        <w:t xml:space="preserve">Такси.</w:t>
      </w:r>
      <w:r>
        <w:t xml:space="preserve"> </w:t>
      </w:r>
      <w:r>
        <w:rPr>
          <w:rStyle w:val="VerbatimChar"/>
        </w:rPr>
        <w:t xml:space="preserve">calculateTaxi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(базовая стоимость + загородная) × общий коэффициент</w:t>
      </w:r>
      <w:r>
        <w:t xml:space="preserve">. Общий коэффициент собирается умножением: временной, пробки, опции, коэффициент организации. Минимальной стоимости как ограничителя после умножения</w:t>
      </w:r>
      <w:r>
        <w:t xml:space="preserve"> </w:t>
      </w:r>
      <w:r>
        <w:rPr>
          <w:bCs/>
          <w:b/>
        </w:rPr>
        <w:t xml:space="preserve">нет</w:t>
      </w:r>
      <w:r>
        <w:t xml:space="preserve">:</w:t>
      </w:r>
      <w:r>
        <w:t xml:space="preserve"> </w:t>
      </w:r>
      <w:r>
        <w:rPr>
          <w:rStyle w:val="VerbatimChar"/>
        </w:rPr>
        <w:t xml:space="preserve">minRideDistanceCost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minRideTimeCost</w:t>
      </w:r>
      <w:r>
        <w:t xml:space="preserve"> </w:t>
      </w:r>
      <w:r>
        <w:t xml:space="preserve">входят в базовую стоимость слагаемыми, а не порогом. Зато</w:t>
      </w:r>
      <w:r>
        <w:t xml:space="preserve"> </w:t>
      </w:r>
      <w:r>
        <w:rPr>
          <w:bCs/>
          <w:b/>
        </w:rPr>
        <w:t xml:space="preserve">после</w:t>
      </w:r>
      <w:r>
        <w:t xml:space="preserve"> </w:t>
      </w:r>
      <w:r>
        <w:t xml:space="preserve">умножения применяется округление до целых рублей.</w:t>
      </w:r>
    </w:p>
    <w:p>
      <w:pPr>
        <w:pStyle w:val="BodyText"/>
      </w:pPr>
      <w:r>
        <w:t xml:space="preserve">Значит деление на временной коэффициент арифметически возможно, но неточно: ошибка до 50 копеек, усиленная множителем</w:t>
      </w:r>
      <w:r>
        <w:t xml:space="preserve"> </w:t>
      </w:r>
      <w:r>
        <w:rPr>
          <w:rStyle w:val="VerbatimChar"/>
        </w:rPr>
        <w:t xml:space="preserve">1/коэффициент</w:t>
      </w:r>
      <w:r>
        <w:t xml:space="preserve">. Запрет деления в §5.4 обоснован — стоит привести именно это основание.</w:t>
      </w:r>
    </w:p>
    <w:p>
      <w:pPr>
        <w:pStyle w:val="BodyText"/>
      </w:pPr>
      <w:r>
        <w:rPr>
          <w:bCs/>
          <w:b/>
        </w:rPr>
        <w:t xml:space="preserve">Первый вариант архитектора («отдаёт ли тарифный сервис базовую цену или состав расчёта») закрыт отрицательно.</w:t>
      </w:r>
      <w:r>
        <w:t xml:space="preserve"> </w:t>
      </w:r>
      <w:r>
        <w:t xml:space="preserve">Ответ расчёта (</w:t>
      </w:r>
      <w:r>
        <w:rPr>
          <w:rStyle w:val="VerbatimChar"/>
        </w:rPr>
        <w:t xml:space="preserve">ru.sber.transport.tariff.model.CalculatedDto</w:t>
      </w:r>
      <w:r>
        <w:t xml:space="preserve">) содержит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priceDetails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groupTransferClass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limitAvailable</w:t>
      </w:r>
      <w:r>
        <w:t xml:space="preserve">. Ключи</w:t>
      </w:r>
      <w:r>
        <w:t xml:space="preserve"> </w:t>
      </w:r>
      <w:r>
        <w:rPr>
          <w:rStyle w:val="VerbatimChar"/>
        </w:rPr>
        <w:t xml:space="preserve">priceDetails</w:t>
      </w:r>
      <w:r>
        <w:t xml:space="preserve"> </w:t>
      </w:r>
      <w:r>
        <w:t xml:space="preserve">— только</w:t>
      </w:r>
      <w:r>
        <w:t xml:space="preserve"> </w:t>
      </w:r>
      <w:r>
        <w:rPr>
          <w:rStyle w:val="VerbatimChar"/>
        </w:rPr>
        <w:t xml:space="preserve">taxiClass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minCancelTimeMin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engineVolumeCoef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carSharingCompName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carSharingCompId</w:t>
      </w:r>
      <w:r>
        <w:t xml:space="preserve">. Ни базовой цены, ни состава расчёта, ни коэффициентов там нет. Остаётся третий путь — режим без временных множителей на стороне тарифного сервиса, как и предложено в §5.4.</w:t>
      </w:r>
    </w:p>
    <w:p>
      <w:pPr>
        <w:pStyle w:val="BodyText"/>
      </w:pPr>
      <w:r>
        <w:rPr>
          <w:bCs/>
          <w:b/>
        </w:rPr>
        <w:t xml:space="preserve">Главное уточнение: временные коэффициенты применяются только к такси.</w:t>
      </w:r>
      <w:r>
        <w:t xml:space="preserve"> </w:t>
      </w:r>
      <w:r>
        <w:t xml:space="preserve">Умножение на общий коэффициент выполняется ровно в двух местах —</w:t>
      </w:r>
      <w:r>
        <w:t xml:space="preserve"> </w:t>
      </w:r>
      <w:r>
        <w:rPr>
          <w:rStyle w:val="VerbatimChar"/>
        </w:rPr>
        <w:t xml:space="preserve">calculateTaxi</w:t>
      </w:r>
      <w:r>
        <w:t xml:space="preserve"> </w:t>
      </w:r>
      <w:r>
        <w:t xml:space="preserve">(строка 807) и</w:t>
      </w:r>
      <w:r>
        <w:t xml:space="preserve"> </w:t>
      </w:r>
      <w:r>
        <w:rPr>
          <w:rStyle w:val="VerbatimChar"/>
        </w:rPr>
        <w:t xml:space="preserve">calculatePersonal</w:t>
      </w:r>
      <w:r>
        <w:t xml:space="preserve"> </w:t>
      </w:r>
      <w:r>
        <w:t xml:space="preserve">(строка 813).</w:t>
      </w:r>
      <w:r>
        <w:t xml:space="preserve"> </w:t>
      </w:r>
      <w:r>
        <w:rPr>
          <w:rStyle w:val="VerbatimChar"/>
        </w:rPr>
        <w:t xml:space="preserve">calculateGroupTransfer</w:t>
      </w:r>
      <w:r>
        <w:t xml:space="preserve"> </w:t>
      </w:r>
      <w:r>
        <w:t xml:space="preserve">возвращает сумму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коэффициента. Сезонный коэффициент берётся только у</w:t>
      </w:r>
      <w:r>
        <w:t xml:space="preserve"> </w:t>
      </w:r>
      <w:r>
        <w:rPr>
          <w:rStyle w:val="VerbatimChar"/>
        </w:rPr>
        <w:t xml:space="preserve">PersonalTariff</w:t>
      </w:r>
      <w:r>
        <w:t xml:space="preserve"> </w:t>
      </w:r>
      <w:r>
        <w:t xml:space="preserve">и к такси с трансфером не применяется вовсе.</w:t>
      </w:r>
    </w:p>
    <w:p>
      <w:pPr>
        <w:pStyle w:val="BodyText"/>
      </w:pPr>
      <w:r>
        <w:t xml:space="preserve">Следствия для редакции 2.0:</w:t>
      </w:r>
    </w:p>
    <w:p>
      <w:pPr>
        <w:numPr>
          <w:ilvl w:val="0"/>
          <w:numId w:val="1001"/>
        </w:numPr>
        <w:pStyle w:val="Compact"/>
      </w:pPr>
      <w:r>
        <w:t xml:space="preserve">§5.4 «для остальных классов трансфера предлагается то же правило [условная дата]» — безвредно, но излишне: коэффициента там нет;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503 CALCULATION_MODE_UNAVAILABLE</w:t>
      </w:r>
      <w:r>
        <w:t xml:space="preserve"> </w:t>
      </w:r>
      <w:r>
        <w:rPr>
          <w:bCs/>
          <w:b/>
        </w:rPr>
        <w:t xml:space="preserve">нельзя</w:t>
      </w:r>
      <w:r>
        <w:t xml:space="preserve"> </w:t>
      </w:r>
      <w:r>
        <w:t xml:space="preserve">применять к трансферу: блокировать сохранение из-за отсутствия «режима без надбавок» там, где надбавок нет, неправильно. Код нужно ограничить</w:t>
      </w:r>
      <w:r>
        <w:t xml:space="preserve"> </w:t>
      </w:r>
      <w:r>
        <w:rPr>
          <w:rStyle w:val="VerbatimChar"/>
        </w:rPr>
        <w:t xml:space="preserve">TAXI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упоминание сезонного коэффициента как причины расхождения цены (§2.6, §5.3) для нашего объёма неверно — его стоит убрать или оговорить, что к такси и трансферу он не применяется.</w:t>
      </w:r>
    </w:p>
    <w:bookmarkEnd w:id="33"/>
    <w:bookmarkStart w:id="34" w:name="X7b1ac0a9d2d4164105f6bcbb805019e63adda90"/>
    <w:p>
      <w:pPr>
        <w:pStyle w:val="Heading3"/>
      </w:pPr>
      <w:r>
        <w:t xml:space="preserve">4.4 А8: откуда брать часовой пояс — поле есть, но есть ловушка в контракте расчёта</w:t>
      </w:r>
    </w:p>
    <w:p>
      <w:pPr>
        <w:pStyle w:val="FirstParagraph"/>
      </w:pPr>
      <w:r>
        <w:t xml:space="preserve">Поле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присутствует в ответе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Region.timeZone</w:t>
      </w:r>
      <w:r>
        <w:t xml:space="preserve">), так что источник есть; его наполнение остаётся проверкой И3.</w:t>
      </w:r>
    </w:p>
    <w:p>
      <w:pPr>
        <w:pStyle w:val="BodyText"/>
      </w:pPr>
      <w:r>
        <w:rPr>
          <w:bCs/>
          <w:b/>
        </w:rPr>
        <w:t xml:space="preserve">Ловушка, которой нет ни в одном документе.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TripDto</w:t>
      </w:r>
      <w:r>
        <w:t xml:space="preserve"> </w:t>
      </w:r>
      <w:r>
        <w:t xml:space="preserve">тарифного сервиса</w:t>
      </w:r>
      <w:r>
        <w:t xml:space="preserve"> </w:t>
      </w:r>
      <w:r>
        <w:rPr>
          <w:rStyle w:val="VerbatimChar"/>
        </w:rPr>
        <w:t xml:space="preserve">tripDate</w:t>
      </w:r>
      <w:r>
        <w:t xml:space="preserve"> </w:t>
      </w:r>
      <w:r>
        <w:t xml:space="preserve">по умолчанию</w:t>
      </w:r>
      <w:r>
        <w:t xml:space="preserve"> </w:t>
      </w:r>
      <w:r>
        <w:rPr>
          <w:rStyle w:val="VerbatimChar"/>
        </w:rPr>
        <w:t xml:space="preserve">now(UTC) + 5 минут</w:t>
      </w:r>
      <w:r>
        <w:t xml:space="preserve">, а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по умолчанию</w:t>
      </w:r>
      <w:r>
        <w:t xml:space="preserve"> </w:t>
      </w:r>
      <w:r>
        <w:rPr>
          <w:rStyle w:val="VerbatimChar"/>
        </w:rPr>
        <w:t xml:space="preserve">"GMT+03"</w:t>
      </w:r>
      <w:r>
        <w:t xml:space="preserve">. Метод</w:t>
      </w:r>
      <w:r>
        <w:t xml:space="preserve"> </w:t>
      </w:r>
      <w:r>
        <w:rPr>
          <w:rStyle w:val="VerbatimChar"/>
        </w:rPr>
        <w:t xml:space="preserve">formatTripDateBasedOnRegionTimeZone</w:t>
      </w:r>
      <w:r>
        <w:t xml:space="preserve"> </w:t>
      </w:r>
      <w:r>
        <w:t xml:space="preserve">трактует присланный</w:t>
      </w:r>
      <w:r>
        <w:t xml:space="preserve"> </w:t>
      </w:r>
      <w:r>
        <w:rPr>
          <w:rStyle w:val="VerbatimChar"/>
        </w:rPr>
        <w:t xml:space="preserve">tripDate</w:t>
      </w:r>
      <w:r>
        <w:t xml:space="preserve"> </w:t>
      </w:r>
      <w:r>
        <w:t xml:space="preserve">как UTC, переводит его в</w:t>
      </w:r>
      <w:r>
        <w:t xml:space="preserve"> </w:t>
      </w:r>
      <w:r>
        <w:rPr>
          <w:bCs/>
          <w:b/>
        </w:rPr>
        <w:t xml:space="preserve">присланный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 берёт получившееся местное время и переставляет его в зону региона.</w:t>
      </w:r>
    </w:p>
    <w:p>
      <w:pPr>
        <w:pStyle w:val="BodyText"/>
      </w:pPr>
      <w:r>
        <w:t xml:space="preserve">Поэтому «пятница 23:00» при умолчании</w:t>
      </w:r>
      <w:r>
        <w:t xml:space="preserve"> </w:t>
      </w:r>
      <w:r>
        <w:rPr>
          <w:rStyle w:val="VerbatimChar"/>
        </w:rPr>
        <w:t xml:space="preserve">GMT+03</w:t>
      </w:r>
      <w:r>
        <w:t xml:space="preserve"> </w:t>
      </w:r>
      <w:r>
        <w:t xml:space="preserve">превращается в</w:t>
      </w:r>
      <w:r>
        <w:t xml:space="preserve"> </w:t>
      </w:r>
      <w:r>
        <w:rPr>
          <w:bCs/>
          <w:b/>
        </w:rPr>
        <w:t xml:space="preserve">субботу 02:00</w:t>
      </w:r>
      <w:r>
        <w:t xml:space="preserve"> </w:t>
      </w:r>
      <w:r>
        <w:t xml:space="preserve">по региону, а признак выходного дня (</w:t>
      </w:r>
      <w:r>
        <w:rPr>
          <w:rStyle w:val="VerbatimChar"/>
        </w:rPr>
        <w:t xml:space="preserve">getTimeCoefficient</w:t>
      </w:r>
      <w:r>
        <w:t xml:space="preserve">) проверяется по этому же времени и даёт</w:t>
      </w:r>
      <w:r>
        <w:t xml:space="preserve"> </w:t>
      </w:r>
      <w:r>
        <w:rPr>
          <w:rStyle w:val="VerbatimChar"/>
        </w:rPr>
        <w:t xml:space="preserve">coefDayOff</w:t>
      </w:r>
      <w:r>
        <w:t xml:space="preserve"> </w:t>
      </w:r>
      <w:r>
        <w:t xml:space="preserve">— ровно надбавку выходного дня, которую заказчик исключил.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В §5.4 задать условную дату</w:t>
      </w:r>
      <w:r>
        <w:t xml:space="preserve"> </w:t>
      </w:r>
      <w:r>
        <w:rPr>
          <w:bCs/>
          <w:b/>
        </w:rPr>
        <w:t xml:space="preserve">парой</w:t>
      </w:r>
      <w:r>
        <w:t xml:space="preserve"> </w:t>
      </w:r>
      <w:r>
        <w:t xml:space="preserve">«</w:t>
      </w:r>
      <w:r>
        <w:rPr>
          <w:rStyle w:val="VerbatimChar"/>
        </w:rPr>
        <w:t xml:space="preserve">tripDate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» и указать, что будний день проверяется после приведения к зоне региона. Самый простой вариант — передавать</w:t>
      </w:r>
      <w:r>
        <w:t xml:space="preserve"> </w:t>
      </w:r>
      <w:r>
        <w:rPr>
          <w:rStyle w:val="VerbatimChar"/>
        </w:rPr>
        <w:t xml:space="preserve">timeZone = "UTC"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tripDate</w:t>
      </w:r>
      <w:r>
        <w:t xml:space="preserve"> </w:t>
      </w:r>
      <w:r>
        <w:t xml:space="preserve">с нужным местным временем, тогда преобразование тождественно.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d8e8063e5472c7eabb7460d53346edfdf407834"/>
    <w:p>
      <w:pPr>
        <w:pStyle w:val="Heading2"/>
      </w:pPr>
      <w:r>
        <w:t xml:space="preserve">5 Находки по коду, меняющие решения редакции 2.0</w:t>
      </w:r>
    </w:p>
    <w:bookmarkStart w:id="36" w:name="X8705a8d523a291f39566dfe0272a0d06326c12b"/>
    <w:p>
      <w:pPr>
        <w:pStyle w:val="Heading3"/>
      </w:pPr>
      <w:r>
        <w:t xml:space="preserve">5.1 §5.5 и §5.7: метод «выбранная машина + выбранный тариф» существует</w:t>
      </w:r>
    </w:p>
    <w:p>
      <w:pPr>
        <w:pStyle w:val="FirstParagraph"/>
      </w:pPr>
      <w:r>
        <w:t xml:space="preserve">Редакция 2.0: «готовый публичный метод "выбранная машина + выбранный тариф" не доказан. Нужен адаптер И4».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CalculatingController</w:t>
      </w:r>
      <w:r>
        <w:t xml:space="preserve"> </w:t>
      </w:r>
      <w:r>
        <w:t xml:space="preserve">опубликовано</w:t>
      </w:r>
      <w:r>
        <w:t xml:space="preserve"> </w:t>
      </w:r>
      <w:r>
        <w:rPr>
          <w:rStyle w:val="VerbatimChar"/>
        </w:rPr>
        <w:t xml:space="preserve">POST /api/tariffs/calculate/transport/{transportId}</w:t>
      </w:r>
      <w:r>
        <w:t xml:space="preserve"> </w:t>
      </w:r>
      <w:r>
        <w:t xml:space="preserve">с телом</w:t>
      </w:r>
      <w:r>
        <w:t xml:space="preserve"> </w:t>
      </w:r>
      <w:r>
        <w:rPr>
          <w:rStyle w:val="VerbatimChar"/>
        </w:rPr>
        <w:t xml:space="preserve">TripDto</w:t>
      </w:r>
      <w:r>
        <w:t xml:space="preserve"> </w:t>
      </w:r>
      <w:r>
        <w:t xml:space="preserve">и параметрами</w:t>
      </w:r>
      <w:r>
        <w:t xml:space="preserve"> </w:t>
      </w:r>
      <w:r>
        <w:rPr>
          <w:rStyle w:val="VerbatimChar"/>
        </w:rPr>
        <w:t xml:space="preserve">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, возвращает</w:t>
      </w:r>
      <w:r>
        <w:t xml:space="preserve"> </w:t>
      </w:r>
      <w:r>
        <w:rPr>
          <w:rStyle w:val="VerbatimChar"/>
        </w:rPr>
        <w:t xml:space="preserve">TransportWithCalculateDTO</w:t>
      </w:r>
      <w:r>
        <w:t xml:space="preserve">. Внутри он ищет тариф</w:t>
      </w:r>
      <w:r>
        <w:t xml:space="preserve"> </w:t>
      </w:r>
      <w:r>
        <w:rPr>
          <w:bCs/>
          <w:b/>
        </w:rPr>
        <w:t xml:space="preserve">по машине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findAllTariff(tripDate, organizationId, regions, Set.of(transportId))</w:t>
      </w:r>
      <w:r>
        <w:t xml:space="preserve"> </w:t>
      </w:r>
      <w:r>
        <w:t xml:space="preserve">— поэтому ограничение «первым перевозчиком» на него</w:t>
      </w:r>
      <w:r>
        <w:t xml:space="preserve"> </w:t>
      </w:r>
      <w:r>
        <w:rPr>
          <w:bCs/>
          <w:b/>
        </w:rPr>
        <w:t xml:space="preserve">не распространяется</w:t>
      </w:r>
      <w:r>
        <w:t xml:space="preserve">: оно относится только к списочному</w:t>
      </w:r>
      <w:r>
        <w:t xml:space="preserve"> </w:t>
      </w:r>
      <w:r>
        <w:rPr>
          <w:rStyle w:val="VerbatimChar"/>
        </w:rPr>
        <w:t xml:space="preserve">POST /calculate/transport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Заменить формулировку: метод есть, проверка И4 сводится к тому, что найденный тариф совпал с выбранным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. Там же стоит перечислить остальные реально опубликованные пути расчёта:</w:t>
      </w:r>
      <w:r>
        <w:t xml:space="preserve"> </w:t>
      </w:r>
      <w:r>
        <w:rPr>
          <w:rStyle w:val="VerbatimChar"/>
        </w:rPr>
        <w:t xml:space="preserve">POST /calculate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/calculate/{tariffType}/{tariffId}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/calculate/enum/{transportType}/{tariffId}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/calculate/transport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/calculate/transport/{transportId}</w:t>
      </w:r>
      <w:r>
        <w:t xml:space="preserve">. Вариант с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удобнее: не требует UUID вида транспорта.</w:t>
      </w:r>
    </w:p>
    <w:bookmarkEnd w:id="36"/>
    <w:bookmarkStart w:id="37" w:name="Xa45f4baa1fb218dd278b397acbf4571f92c0dc1"/>
    <w:p>
      <w:pPr>
        <w:pStyle w:val="Heading3"/>
      </w:pPr>
      <w:r>
        <w:t xml:space="preserve">5.2 §5.4: выбор городских и загородных ставок по</w:t>
      </w:r>
      <w:r>
        <w:t xml:space="preserve"> </w:t>
      </w:r>
      <w:r>
        <w:rPr>
          <w:rStyle w:val="VerbatimChar"/>
        </w:rPr>
        <w:t xml:space="preserve">city</w:t>
      </w:r>
      <w:r>
        <w:t xml:space="preserve"> </w:t>
      </w:r>
      <w:r>
        <w:t xml:space="preserve">— подтверждён, и это риск</w:t>
      </w:r>
    </w:p>
    <w:p>
      <w:pPr>
        <w:pStyle w:val="FirstParagraph"/>
      </w:pPr>
      <w:r>
        <w:t xml:space="preserve">Для группового трансфера загородные ставки действительно выбираются по строкам городов: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isSuburb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tripDto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getWaypoints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WaypointDTO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getCity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toSet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Сравнение — по</w:t>
      </w:r>
      <w:r>
        <w:t xml:space="preserve"> </w:t>
      </w:r>
      <w:r>
        <w:rPr>
          <w:bCs/>
          <w:b/>
        </w:rPr>
        <w:t xml:space="preserve">сырым строкам</w:t>
      </w:r>
      <w:r>
        <w:t xml:space="preserve">, через</w:t>
      </w:r>
      <w:r>
        <w:t xml:space="preserve"> </w:t>
      </w:r>
      <w:r>
        <w:rPr>
          <w:rStyle w:val="VerbatimChar"/>
        </w:rPr>
        <w:t xml:space="preserve">Set</w:t>
      </w:r>
      <w:r>
        <w:t xml:space="preserve">. Отсюда три следствия, которые нужно записать в §5.4 и в И5:</w:t>
      </w:r>
    </w:p>
    <w:p>
      <w:pPr>
        <w:numPr>
          <w:ilvl w:val="0"/>
          <w:numId w:val="1002"/>
        </w:numPr>
        <w:pStyle w:val="Compact"/>
      </w:pPr>
      <w:r>
        <w:t xml:space="preserve">Разные написания одного города («Москва» и «москва», с пробелом на конце) дают загородный тариф. Редакция 2.0 этот риск упоминает — он подтверждён.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city</w:t>
      </w:r>
      <w:r>
        <w:t xml:space="preserve"> </w:t>
      </w:r>
      <w:r>
        <w:t xml:space="preserve">необязателен по T01.1. Если часть точек с городом, а часть без, множество содержит и название, и пустое значение — размер больше одного, и поездка снова считается загородной. Правило §5.5 «отсутствующий</w:t>
      </w:r>
      <w:r>
        <w:t xml:space="preserve"> </w:t>
      </w:r>
      <w:r>
        <w:rPr>
          <w:rStyle w:val="VerbatimChar"/>
        </w:rPr>
        <w:t xml:space="preserve">city</w:t>
      </w:r>
      <w:r>
        <w:t xml:space="preserve"> </w:t>
      </w:r>
      <w:r>
        <w:t xml:space="preserve">передаётся пустой строкой только в адаптере» этого не снимает: пустая строка — такой же элемент множества.</w:t>
      </w:r>
    </w:p>
    <w:p>
      <w:pPr>
        <w:numPr>
          <w:ilvl w:val="0"/>
          <w:numId w:val="1002"/>
        </w:numPr>
        <w:pStyle w:val="Compact"/>
      </w:pPr>
      <w:r>
        <w:t xml:space="preserve">Для такси механизм другой: загородная составляющая берётся из</w:t>
      </w:r>
      <w:r>
        <w:t xml:space="preserve"> </w:t>
      </w:r>
      <w:r>
        <w:rPr>
          <w:rStyle w:val="VerbatimChar"/>
        </w:rPr>
        <w:t xml:space="preserve">SuburbTripDataDTO</w:t>
      </w:r>
      <w:r>
        <w:t xml:space="preserve"> </w:t>
      </w:r>
      <w:r>
        <w:t xml:space="preserve">в запросе (</w:t>
      </w:r>
      <w:r>
        <w:rPr>
          <w:rStyle w:val="VerbatimChar"/>
        </w:rPr>
        <w:t xml:space="preserve">suburbDistance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suburbServiceDistance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suburbServiceTime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suburbTime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interRegionDistance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interRegionTime</w:t>
      </w:r>
      <w:r>
        <w:t xml:space="preserve">), и по коду</w:t>
      </w:r>
      <w:r>
        <w:t xml:space="preserve"> </w:t>
      </w:r>
      <w:r>
        <w:rPr>
          <w:bCs/>
          <w:b/>
        </w:rPr>
        <w:t xml:space="preserve">никто этих полей не заполняет</w:t>
      </w:r>
      <w:r>
        <w:t xml:space="preserve"> </w:t>
      </w:r>
      <w:r>
        <w:t xml:space="preserve">— ни сервис заявок, ни клиентский фронт, ни geo; в</w:t>
      </w:r>
      <w:r>
        <w:t xml:space="preserve"> </w:t>
      </w:r>
      <w:r>
        <w:rPr>
          <w:rStyle w:val="VerbatimChar"/>
        </w:rPr>
        <w:t xml:space="preserve">TripDto</w:t>
      </w:r>
      <w:r>
        <w:t xml:space="preserve"> </w:t>
      </w:r>
      <w:r>
        <w:t xml:space="preserve">это объект из нулей по умолчанию. То есть для такси загородные и межрегиональные ставки сейчас не применяются вообще.</w:t>
      </w:r>
    </w:p>
    <w:p>
      <w:pPr>
        <w:pStyle w:val="FirstParagraph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Для трансфера — задать правило заполнения</w:t>
      </w:r>
      <w:r>
        <w:t xml:space="preserve"> </w:t>
      </w:r>
      <w:r>
        <w:rPr>
          <w:rStyle w:val="VerbatimChar"/>
        </w:rPr>
        <w:t xml:space="preserve">city</w:t>
      </w:r>
      <w:r>
        <w:t xml:space="preserve"> </w:t>
      </w:r>
      <w:r>
        <w:t xml:space="preserve">у всех точек либо осознанно принять, что при неполных городах тариф будет загородным. Для такси — решить в T01.4, откуда берутся загородные показатели, либо прямо оговорить, что ориентир считается без загородной части. Для маршрута «аэропорт Горно-Алтайск — Манжерок» это не косметика.</w:t>
      </w:r>
    </w:p>
    <w:bookmarkEnd w:id="37"/>
    <w:bookmarkStart w:id="38" w:name="X95b35574995142899c2944840cd1b29a762037c"/>
    <w:p>
      <w:pPr>
        <w:pStyle w:val="Heading3"/>
      </w:pPr>
      <w:r>
        <w:t xml:space="preserve">5.3 §5.2: CalculationBundle из одного вызова не собирается</w:t>
      </w:r>
    </w:p>
    <w:p>
      <w:pPr>
        <w:pStyle w:val="FirstParagraph"/>
      </w:pPr>
      <w:r>
        <w:t xml:space="preserve">Требование «все данные сохраняются из одного принятого результата» невыполнимо существующими контрактами: ответ расчёта не содержит ни договора, ни подразделения, ни человекочитаемого номера тарифа (состав — в 4.3). Значит</w:t>
      </w:r>
      <w:r>
        <w:t xml:space="preserve"> </w:t>
      </w:r>
      <w:r>
        <w:rPr>
          <w:rStyle w:val="VerbatimChar"/>
        </w:rPr>
        <w:t xml:space="preserve">tariffContractId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tariffDepartmentId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читаются отдельным вызовом, и bundle собирается минимум из двух обращений.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Переформулировать: bundle собирается из нескольких вызовов, согласованность обеспечивается проверкой (перечитать метаданные тарифа после расчёта и сверить с использованными), а не единым ответом. Само требование «не смешивать цену из одного расчёта со снимком из другого поиска» остаётся в силе и становится ещё важнее.</w:t>
      </w:r>
    </w:p>
    <w:bookmarkEnd w:id="38"/>
    <w:bookmarkStart w:id="39" w:name="X55cb1bd721b9f93f8cc15a67549c5188598d53e"/>
    <w:p>
      <w:pPr>
        <w:pStyle w:val="Heading3"/>
      </w:pPr>
      <w:r>
        <w:t xml:space="preserve">5.4 Ожидание: единицы совпадают, но механизм хрупкий</w:t>
      </w:r>
    </w:p>
    <w:p>
      <w:pPr>
        <w:pStyle w:val="FirstParagraph"/>
      </w:pPr>
      <w:r>
        <w:t xml:space="preserve">Сквозная единица — миллисекунды, как в T01.1 (</w:t>
      </w:r>
      <w:r>
        <w:rPr>
          <w:rStyle w:val="VerbatimChar"/>
        </w:rPr>
        <w:t xml:space="preserve">waitTime</w:t>
      </w:r>
      <w:r>
        <w:t xml:space="preserve">, кратно 60 000) и §5.6 редакции 2.0. Это подтверждено, но держится на компенсации: в тарифном сервисе</w:t>
      </w:r>
      <w:r>
        <w:t xml:space="preserve"> </w:t>
      </w:r>
      <w:r>
        <w:rPr>
          <w:rStyle w:val="VerbatimChar"/>
        </w:rPr>
        <w:t xml:space="preserve">WaypointDTO.waitTime</w:t>
      </w:r>
      <w:r>
        <w:t xml:space="preserve"> </w:t>
      </w:r>
      <w:r>
        <w:t xml:space="preserve">объявлен как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без аннотаций сериализации, поэтому Jackson читает число как</w:t>
      </w:r>
      <w:r>
        <w:t xml:space="preserve"> </w:t>
      </w:r>
      <w:r>
        <w:rPr>
          <w:bCs/>
          <w:b/>
        </w:rPr>
        <w:t xml:space="preserve">секунды</w:t>
      </w:r>
      <w:r>
        <w:t xml:space="preserve">, а код затем делит на 1000 (</w:t>
      </w:r>
      <w:r>
        <w:rPr>
          <w:rStyle w:val="VerbatimChar"/>
        </w:rPr>
        <w:t xml:space="preserve">toSeconds()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/1000</w:t>
      </w:r>
      <w:r>
        <w:t xml:space="preserve">), восстанавливая миллисекунды. Выглядит как ошибка, но именно это делает присылку миллисекунд правильной.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Добавить в И4 оговорку: «исправление» этого делителя на стороне тарифного сервиса молча изменит расчёт в 1000 раз. Контрольный расчёт с ненулевым ожиданием обязателен.</w:t>
      </w:r>
    </w:p>
    <w:p>
      <w:pPr>
        <w:pStyle w:val="BodyText"/>
      </w:pPr>
      <w:r>
        <w:t xml:space="preserve">Отдельно: в расчёте такси бесплатный лимит ожидания вычитается только из</w:t>
      </w:r>
      <w:r>
        <w:t xml:space="preserve"> </w:t>
      </w:r>
      <w:r>
        <w:rPr>
          <w:rStyle w:val="VerbatimChar"/>
        </w:rPr>
        <w:t xml:space="preserve">tripData.waitingTime</w:t>
      </w:r>
      <w:r>
        <w:t xml:space="preserve"> </w:t>
      </w:r>
      <w:r>
        <w:t xml:space="preserve">— отдельного поля «ожидание в первой точке подачи», — а ожидания промежуточных точек оплачиваются полностью по</w:t>
      </w:r>
      <w:r>
        <w:t xml:space="preserve"> </w:t>
      </w:r>
      <w:r>
        <w:rPr>
          <w:rStyle w:val="VerbatimChar"/>
        </w:rPr>
        <w:t xml:space="preserve">waitCostPerMinIntermediate</w:t>
      </w:r>
      <w:r>
        <w:t xml:space="preserve">. В трансфере наоборот: лимит вычитается из ожидания</w:t>
      </w:r>
      <w:r>
        <w:t xml:space="preserve"> </w:t>
      </w:r>
      <w:r>
        <w:rPr>
          <w:bCs/>
          <w:b/>
        </w:rPr>
        <w:t xml:space="preserve">каждой</w:t>
      </w:r>
      <w:r>
        <w:t xml:space="preserve"> </w:t>
      </w:r>
      <w:r>
        <w:t xml:space="preserve">точки. Поскольку по T01.1 ожидание у крайних точек не хранится, поле</w:t>
      </w:r>
      <w:r>
        <w:t xml:space="preserve"> </w:t>
      </w:r>
      <w:r>
        <w:rPr>
          <w:rStyle w:val="VerbatimChar"/>
        </w:rPr>
        <w:t xml:space="preserve">waitingTime</w:t>
      </w:r>
      <w:r>
        <w:t xml:space="preserve"> </w:t>
      </w:r>
      <w:r>
        <w:t xml:space="preserve">нужно передавать нулевым, иначе лимит применится не к тому. Это уточнение для контракта T01.4.</w:t>
      </w:r>
    </w:p>
    <w:bookmarkEnd w:id="39"/>
    <w:bookmarkStart w:id="40" w:name="X99e5a605955b46d6f49101ffa754ee0d9f45387"/>
    <w:p>
      <w:pPr>
        <w:pStyle w:val="Heading3"/>
      </w:pPr>
      <w:r>
        <w:t xml:space="preserve">5.5 Мелкие уточнения</w:t>
      </w:r>
    </w:p>
    <w:p>
      <w:pPr>
        <w:pStyle w:val="FirstParagraph"/>
      </w:pPr>
      <w:r>
        <w:rPr>
          <w:bCs/>
          <w:b/>
        </w:rPr>
        <w:t xml:space="preserve">Индекс для поиска кандидатов.</w:t>
      </w:r>
      <w:r>
        <w:t xml:space="preserve"> </w:t>
      </w:r>
      <w:r>
        <w:t xml:space="preserve">T01.1 определяет неуникальный индекс по</w:t>
      </w:r>
      <w:r>
        <w:t xml:space="preserve"> </w:t>
      </w:r>
      <w:r>
        <w:rPr>
          <w:rStyle w:val="VerbatimChar"/>
        </w:rPr>
        <w:t xml:space="preserve">route_key</w:t>
      </w:r>
      <w:r>
        <w:t xml:space="preserve"> </w:t>
      </w:r>
      <w:r>
        <w:t xml:space="preserve">и индекс</w:t>
      </w:r>
      <w:r>
        <w:t xml:space="preserve"> </w:t>
      </w:r>
      <w:r>
        <w:rPr>
          <w:rStyle w:val="VerbatimChar"/>
        </w:rPr>
        <w:t xml:space="preserve">(organization_id, is_active)</w:t>
      </w:r>
      <w:r>
        <w:t xml:space="preserve">. В §4.1 кандидаты отбираются по организации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ключу; поскольку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 </w:t>
      </w:r>
      <w:r>
        <w:t xml:space="preserve">входит в канонический массив и, значит, в сам</w:t>
      </w:r>
      <w:r>
        <w:t xml:space="preserve"> </w:t>
      </w:r>
      <w:r>
        <w:rPr>
          <w:rStyle w:val="VerbatimChar"/>
        </w:rPr>
        <w:t xml:space="preserve">route_key</w:t>
      </w:r>
      <w:r>
        <w:t xml:space="preserve">, проверка организации избыточна. Вреда нет, но стоит сказать, что отбор идёт по индексу</w:t>
      </w:r>
      <w:r>
        <w:t xml:space="preserve"> </w:t>
      </w:r>
      <w:r>
        <w:rPr>
          <w:rStyle w:val="VerbatimChar"/>
        </w:rPr>
        <w:t xml:space="preserve">route_key</w:t>
      </w:r>
      <w:r>
        <w:t xml:space="preserve">, а условие организации оставлено как дополнительная защита.</w:t>
      </w:r>
    </w:p>
    <w:p>
      <w:pPr>
        <w:pStyle w:val="BodyText"/>
      </w:pPr>
      <w:r>
        <w:rPr>
          <w:bCs/>
          <w:b/>
        </w:rPr>
        <w:t xml:space="preserve">Внутренние пути и права.</w:t>
      </w:r>
      <w:r>
        <w:t xml:space="preserve"> </w:t>
      </w:r>
      <w:r>
        <w:t xml:space="preserve">Выбор «внутренний корень — /» работоспособен: стартер прав сопоставляет URL по числу сегментов и точным совпадениям, выбирая кандидата с наибольшим числом точных сегментов, и при единственном кандидате возвращает его. Поэтому</w:t>
      </w:r>
      <w:r>
        <w:t xml:space="preserve"> </w:t>
      </w:r>
      <w:r>
        <w:rPr>
          <w:rStyle w:val="VerbatimChar"/>
        </w:rPr>
        <w:t xml:space="preserve">GET /{id}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POST /calculate</w:t>
      </w:r>
      <w:r>
        <w:t xml:space="preserve"> </w:t>
      </w:r>
      <w:r>
        <w:t xml:space="preserve">различаются корректно. Две оговорки для И1: при отсутствии зарегистрированной пары доступ</w:t>
      </w:r>
      <w:r>
        <w:t xml:space="preserve"> </w:t>
      </w:r>
      <w:r>
        <w:rPr>
          <w:bCs/>
          <w:b/>
        </w:rPr>
        <w:t xml:space="preserve">запрещается</w:t>
      </w:r>
      <w:r>
        <w:t xml:space="preserve"> </w:t>
      </w:r>
      <w:r>
        <w:t xml:space="preserve">по умолчанию, поэтому до наполнения</w:t>
      </w:r>
      <w:r>
        <w:t xml:space="preserve"> </w:t>
      </w:r>
      <w:r>
        <w:rPr>
          <w:rStyle w:val="VerbatimChar"/>
        </w:rPr>
        <w:t xml:space="preserve">urls</w:t>
      </w:r>
      <w:r>
        <w:t xml:space="preserve">/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API закрыт полностью, включая сам</w:t>
      </w:r>
      <w:r>
        <w:t xml:space="preserve"> </w:t>
      </w:r>
      <w:r>
        <w:rPr>
          <w:rStyle w:val="VerbatimChar"/>
        </w:rPr>
        <w:t xml:space="preserve">PUT /allow</w:t>
      </w:r>
      <w:r>
        <w:t xml:space="preserve"> </w:t>
      </w:r>
      <w:r>
        <w:t xml:space="preserve">— порядок первичного наполнения нужно описать; и правило</w:t>
      </w:r>
      <w:r>
        <w:t xml:space="preserve"> </w:t>
      </w:r>
      <w:r>
        <w:rPr>
          <w:rStyle w:val="VerbatimChar"/>
        </w:rPr>
        <w:t xml:space="preserve">RewritePath</w:t>
      </w:r>
      <w:r>
        <w:t xml:space="preserve"> </w:t>
      </w:r>
      <w:r>
        <w:t xml:space="preserve">в платформе не обрабатывает путь без завершающего слеша, поэтому все контроллеры платформы объявляют пути парами («</w:t>
      </w:r>
      <w:r>
        <w:rPr>
          <w:rStyle w:val="VerbatimChar"/>
        </w:rPr>
        <w:t xml:space="preserve">search</w:t>
      </w:r>
      <w:r>
        <w:t xml:space="preserve">» и «</w:t>
      </w:r>
      <w:r>
        <w:rPr>
          <w:rStyle w:val="VerbatimChar"/>
        </w:rPr>
        <w:t xml:space="preserve">search/</w:t>
      </w:r>
      <w:r>
        <w:t xml:space="preserve">») — это стоит учесть и в маршруте шлюза, и в регистрации прав.</w:t>
      </w:r>
    </w:p>
    <w:p>
      <w:pPr>
        <w:pStyle w:val="BodyText"/>
      </w:pPr>
      <w:r>
        <w:rPr>
          <w:bCs/>
          <w:b/>
        </w:rPr>
        <w:t xml:space="preserve">Ошибки geo.</w:t>
      </w:r>
      <w:r>
        <w:t xml:space="preserve"> </w:t>
      </w:r>
      <w:r>
        <w:t xml:space="preserve">Утверждение §6.3 «поиск адреса строкой при отсутствии подсказок даёт 200 с пустым списком» по коду не подтверждается однозначно: geo бросает исключение, когда провайдер вернул</w:t>
      </w:r>
      <w:r>
        <w:t xml:space="preserve"> </w:t>
      </w:r>
      <w:r>
        <w:rPr>
          <w:rStyle w:val="VerbatimChar"/>
        </w:rPr>
        <w:t xml:space="preserve">meta.code = 404</w:t>
      </w:r>
      <w:r>
        <w:t xml:space="preserve"> </w:t>
      </w:r>
      <w:r>
        <w:t xml:space="preserve">либо непустой список сообщений об ошибке, и оба случая превращаются в 417. Различить «зданий нет» и «сбой провайдера» по ответу нельзя — внутри geo это различается (</w:t>
      </w:r>
      <w:r>
        <w:rPr>
          <w:rStyle w:val="VerbatimChar"/>
        </w:rPr>
        <w:t xml:space="preserve">GeoApiException.getCode()</w:t>
      </w:r>
      <w:r>
        <w:t xml:space="preserve">), наружу не выводится. Нейтральный текст</w:t>
      </w:r>
      <w:r>
        <w:t xml:space="preserve"> </w:t>
      </w:r>
      <w:r>
        <w:rPr>
          <w:rStyle w:val="VerbatimChar"/>
        </w:rPr>
        <w:t xml:space="preserve">ADDRESS_UNRESOLVED</w:t>
      </w:r>
      <w:r>
        <w:t xml:space="preserve"> </w:t>
      </w:r>
      <w:r>
        <w:t xml:space="preserve">выбран правильно; формулировку про 200 с пустым списком лучше перенести в И5 как предмет проверки.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ee6b434fb52dabd87edc56aa35c58fff058e78d"/>
    <w:p>
      <w:pPr>
        <w:pStyle w:val="Heading2"/>
      </w:pPr>
      <w:r>
        <w:t xml:space="preserve">6 Что проверить дополнительно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заказчика от 15.10 по З1, З2 и 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них §2.5 и §2.6 опираются на незакрытые вопросы (2.1, 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Решение, кто заполняет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 ручной ввод координат нереализуем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 по округлению координат в ключе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с А3 (2.4)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Контрольный расчёт трансфера с неполными</w:t>
            </w:r>
            <w:r>
              <w:t xml:space="preserve"> </w:t>
            </w:r>
            <w:r>
              <w:rPr>
                <w:rStyle w:val="VerbatimChar"/>
              </w:rP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Подтвердить переход на загородные ставки (5.2)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Контрольный расчёт такси с ненулевым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Подтвердить компенсирующий делитель (5.4)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Поведение расчёта трансфера при тарифе без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Ожидается 5xx вместо «вариантов нет» (4.1)</w:t>
            </w:r>
          </w:p>
        </w:tc>
      </w:tr>
    </w:tbl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2026-10-15T19:38:49Z</dcterms:created>
  <dcterms:modified xsi:type="dcterms:W3CDTF">2026-10-15T19:38:49Z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