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T01.1. Модель данных FavoriteRoute: обновлённые таблицы раздела 3</w:t>
      </w:r>
    </w:p>
    <w:p>
      <w:r>
        <w:t>Предложение от 02.10.2026 к редакции v1.8. Изменения: version — int8 (было int4); route_version — int8 (было int4, тип совпадает с version). Остальной текст — из присланной таблицы, без правок. Решения 02.10: version и route_version — int8; waitTime — int64, миллисекунды (D02).</w:t>
      </w:r>
    </w:p>
    <w:p>
      <w:pPr>
        <w:pStyle w:val="Heading1"/>
      </w:pPr>
      <w:r>
        <w:t>3 Состав полей</w:t>
      </w:r>
    </w:p>
    <w:p>
      <w:pPr>
        <w:pStyle w:val="Heading2"/>
      </w:pPr>
      <w:r>
        <w:t>Поля favorite_route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2041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1587"/>
          </w:tcPr>
          <w:p>
            <w:r/>
            <w:r>
              <w:rPr>
                <w:b/>
              </w:rPr>
              <w:t>Тип</w:t>
            </w:r>
          </w:p>
        </w:tc>
        <w:tc>
          <w:tcPr>
            <w:tcW w:type="dxa" w:w="1701"/>
          </w:tcPr>
          <w:p>
            <w:r/>
            <w:r>
              <w:rPr>
                <w:b/>
              </w:rPr>
              <w:t>Обяз / default</w:t>
            </w:r>
          </w:p>
        </w:tc>
        <w:tc>
          <w:tcPr>
            <w:tcW w:type="dxa" w:w="9411"/>
          </w:tcPr>
          <w:p>
            <w:r/>
            <w:r>
              <w:rPr>
                <w:b/>
              </w:rPr>
              <w:t>Назначение и правило</w:t>
            </w:r>
          </w:p>
        </w:tc>
      </w:tr>
      <w:tr>
        <w:tc>
          <w:tcPr>
            <w:tcW w:type="dxa" w:w="2041"/>
          </w:tcPr>
          <w:p>
            <w:r/>
            <w:r>
              <w:t>id</w:t>
            </w:r>
          </w:p>
        </w:tc>
        <w:tc>
          <w:tcPr>
            <w:tcW w:type="dxa" w:w="1587"/>
          </w:tcPr>
          <w:p>
            <w:r/>
            <w:r>
              <w:t>uuid</w:t>
            </w:r>
          </w:p>
        </w:tc>
        <w:tc>
          <w:tcPr>
            <w:tcW w:type="dxa" w:w="1701"/>
          </w:tcPr>
          <w:p>
            <w:r/>
            <w:r>
              <w:t>Да</w:t>
            </w:r>
          </w:p>
        </w:tc>
        <w:tc>
          <w:tcPr>
            <w:tcW w:type="dxa" w:w="9411"/>
          </w:tcPr>
          <w:p>
            <w:r/>
            <w:r>
              <w:t>Технический идентификатор. Генерируется приложением, не базой</w:t>
            </w:r>
          </w:p>
        </w:tc>
      </w:tr>
      <w:tr>
        <w:tc>
          <w:tcPr>
            <w:tcW w:type="dxa" w:w="2041"/>
          </w:tcPr>
          <w:p>
            <w:r/>
            <w:r>
              <w:t>favorite_route_number</w:t>
            </w:r>
          </w:p>
        </w:tc>
        <w:tc>
          <w:tcPr>
            <w:tcW w:type="dxa" w:w="1587"/>
          </w:tcPr>
          <w:p>
            <w:r/>
            <w:r>
              <w:t>varchar(20)</w:t>
            </w:r>
          </w:p>
        </w:tc>
        <w:tc>
          <w:tcPr>
            <w:tcW w:type="dxa" w:w="1701"/>
          </w:tcPr>
          <w:p>
            <w:r/>
            <w:r>
              <w:t>Да</w:t>
            </w:r>
          </w:p>
        </w:tc>
        <w:tc>
          <w:tcPr>
            <w:tcW w:type="dxa" w:w="9411"/>
          </w:tcPr>
          <w:p>
            <w:r/>
            <w:r>
              <w:t>Номер маршрута FR-XXXX-XXXXXXXX , уникален. Имя поля — решение встречи 17.09: указание на сущность исключает путаницу с одноимёнными полями других сервисов. XXXX — digitId организации (13 → 0013), не organizationCode. Генерация номера — T01.2 (Q10). Счётчик ведётся в служебной таблице company_sq (см. ниже). [СОГЛАСОВАТЬ С АРХИТЕКТОРОМ П2]</w:t>
            </w:r>
          </w:p>
        </w:tc>
      </w:tr>
      <w:tr>
        <w:tc>
          <w:tcPr>
            <w:tcW w:type="dxa" w:w="2041"/>
          </w:tcPr>
          <w:p>
            <w:r/>
            <w:r>
              <w:t>route_name</w:t>
            </w:r>
          </w:p>
        </w:tc>
        <w:tc>
          <w:tcPr>
            <w:tcW w:type="dxa" w:w="1587"/>
          </w:tcPr>
          <w:p>
            <w:r/>
            <w:r>
              <w:t>varchar(255)</w:t>
            </w:r>
          </w:p>
        </w:tc>
        <w:tc>
          <w:tcPr>
            <w:tcW w:type="dxa" w:w="1701"/>
          </w:tcPr>
          <w:p>
            <w:r/>
            <w:r>
              <w:t>Да</w:t>
            </w:r>
          </w:p>
        </w:tc>
        <w:tc>
          <w:tcPr>
            <w:tcW w:type="dxa" w:w="9411"/>
          </w:tcPr>
          <w:p>
            <w:r/>
            <w:r>
              <w:t>Название маршрута, не уникально. Длина соответствует практике сервиса тарифов</w:t>
            </w:r>
          </w:p>
        </w:tc>
      </w:tr>
      <w:tr>
        <w:tc>
          <w:tcPr>
            <w:tcW w:type="dxa" w:w="2041"/>
          </w:tcPr>
          <w:p>
            <w:r/>
            <w:r>
              <w:t>waypoints</w:t>
            </w:r>
          </w:p>
        </w:tc>
        <w:tc>
          <w:tcPr>
            <w:tcW w:type="dxa" w:w="1587"/>
          </w:tcPr>
          <w:p>
            <w:r/>
            <w:r>
              <w:t>jsonb</w:t>
            </w:r>
          </w:p>
        </w:tc>
        <w:tc>
          <w:tcPr>
            <w:tcW w:type="dxa" w:w="1701"/>
          </w:tcPr>
          <w:p>
            <w:r/>
            <w:r>
              <w:t>Да</w:t>
            </w:r>
          </w:p>
        </w:tc>
        <w:tc>
          <w:tcPr>
            <w:tcW w:type="dxa" w:w="9411"/>
          </w:tcPr>
          <w:p>
            <w:r/>
            <w:r>
              <w:t>Упорядоченные точки: база (выезд), промежуточные точки с плановым ожиданием, база (возврат). От 3 до 10 точек, включая базу. [СОГЛАСОВАТЬ С АРХИТЕКТОРОМ] Тип jsonb вместо json; состав точки — раздел 4. [СОГЛАСОВАТЬ С ЗАКАЗЧИКОМ D10] Минимум 3 точки.</w:t>
            </w:r>
          </w:p>
        </w:tc>
      </w:tr>
      <w:tr>
        <w:tc>
          <w:tcPr>
            <w:tcW w:type="dxa" w:w="2041"/>
          </w:tcPr>
          <w:p>
            <w:r/>
            <w:r>
              <w:t>transport_type</w:t>
            </w:r>
          </w:p>
        </w:tc>
        <w:tc>
          <w:tcPr>
            <w:tcW w:type="dxa" w:w="1587"/>
          </w:tcPr>
          <w:p>
            <w:r/>
            <w:r>
              <w:t>varchar(50)</w:t>
            </w:r>
          </w:p>
        </w:tc>
        <w:tc>
          <w:tcPr>
            <w:tcW w:type="dxa" w:w="1701"/>
          </w:tcPr>
          <w:p>
            <w:r/>
            <w:r>
              <w:t>Да</w:t>
            </w:r>
          </w:p>
        </w:tc>
        <w:tc>
          <w:tcPr>
            <w:tcW w:type="dxa" w:w="9411"/>
          </w:tcPr>
          <w:p>
            <w:r/>
            <w:r>
              <w:t xml:space="preserve">Вид транспорта: TAXI / GROUP_TRANSFER. </w:t>
            </w:r>
          </w:p>
        </w:tc>
      </w:tr>
      <w:tr>
        <w:tc>
          <w:tcPr>
            <w:tcW w:type="dxa" w:w="2041"/>
          </w:tcPr>
          <w:p>
            <w:r/>
            <w:r>
              <w:t>service_class</w:t>
            </w:r>
          </w:p>
        </w:tc>
        <w:tc>
          <w:tcPr>
            <w:tcW w:type="dxa" w:w="1587"/>
          </w:tcPr>
          <w:p>
            <w:r/>
            <w:r>
              <w:t>varchar(50)</w:t>
            </w:r>
          </w:p>
        </w:tc>
        <w:tc>
          <w:tcPr>
            <w:tcW w:type="dxa" w:w="1701"/>
          </w:tcPr>
          <w:p>
            <w:r/>
            <w:r>
              <w:t>Да</w:t>
            </w:r>
          </w:p>
        </w:tc>
        <w:tc>
          <w:tcPr>
            <w:tcW w:type="dxa" w:w="9411"/>
          </w:tcPr>
          <w:p>
            <w:r/>
            <w:r>
              <w:t>Код класса соответствует transport_type. TAXI: ECONOMY, COMFORT, COMFORT_PLUS, BUSINESS, OFFICIAL. GROUP_TRANSFER: TRANSFER, TRANSFER_COMFORT, TRANSFER_COMFORT_PLUS, TRANSFER_BUSINESS, TRANSFER_VIP, TRANSFER_CAR_CHOICE. Коды получены со стенда. [СОГЛАСОВАТЬ С ЗАКАЗЧИКОМ] Для такси используются все классы платформы, включая OFFICIAL («Служебный»); VIP  такси не вводится — в платформе его нет.</w:t>
            </w:r>
          </w:p>
        </w:tc>
      </w:tr>
      <w:tr>
        <w:tc>
          <w:tcPr>
            <w:tcW w:type="dxa" w:w="2041"/>
          </w:tcPr>
          <w:p>
            <w:r/>
            <w:r>
              <w:t>total_km</w:t>
            </w:r>
          </w:p>
        </w:tc>
        <w:tc>
          <w:tcPr>
            <w:tcW w:type="dxa" w:w="1587"/>
          </w:tcPr>
          <w:p>
            <w:r/>
            <w:r>
              <w:t>numeric(7,3)</w:t>
            </w:r>
          </w:p>
        </w:tc>
        <w:tc>
          <w:tcPr>
            <w:tcW w:type="dxa" w:w="1701"/>
          </w:tcPr>
          <w:p>
            <w:r/>
            <w:r>
              <w:t>Да</w:t>
            </w:r>
          </w:p>
        </w:tc>
        <w:tc>
          <w:tcPr>
            <w:tcW w:type="dxa" w:w="9411"/>
          </w:tcPr>
          <w:p>
            <w:r/>
            <w:r>
              <w:t>Протяжённость, км; внешнее distance — км. Заполняется расчётом маршрута. [СОГЛАСОВАТЬ С АРХИТЕКТОРОМ D06] numeric(7,3): distance приходит с точностью до метра (пример стенда 0.886 км) и хранится без округления.</w:t>
            </w:r>
          </w:p>
        </w:tc>
      </w:tr>
      <w:tr>
        <w:tc>
          <w:tcPr>
            <w:tcW w:type="dxa" w:w="2041"/>
          </w:tcPr>
          <w:p>
            <w:r/>
            <w:r>
              <w:t>travel_time</w:t>
            </w:r>
          </w:p>
        </w:tc>
        <w:tc>
          <w:tcPr>
            <w:tcW w:type="dxa" w:w="1587"/>
          </w:tcPr>
          <w:p>
            <w:r/>
            <w:r>
              <w:t>numeric(6,1)</w:t>
            </w:r>
          </w:p>
        </w:tc>
        <w:tc>
          <w:tcPr>
            <w:tcW w:type="dxa" w:w="1701"/>
          </w:tcPr>
          <w:p>
            <w:r/>
            <w:r>
              <w:t>Да</w:t>
            </w:r>
          </w:p>
        </w:tc>
        <w:tc>
          <w:tcPr>
            <w:tcW w:type="dxa" w:w="9411"/>
          </w:tcPr>
          <w:p>
            <w:r/>
            <w:r>
              <w:t>Движение без ожидания, минуты. Внешнее time — мс. [СОГЛАСОВАТЬ С АРХИТЕКТОРОМ D06] time / 60000 с округлением half-up до 0,1 минуты; значение вне диапазона numeric(6,1) отклоняется.</w:t>
            </w:r>
          </w:p>
        </w:tc>
      </w:tr>
      <w:tr>
        <w:tc>
          <w:tcPr>
            <w:tcW w:type="dxa" w:w="2041"/>
          </w:tcPr>
          <w:p>
            <w:r/>
            <w:r>
              <w:t>total_time</w:t>
            </w:r>
          </w:p>
        </w:tc>
        <w:tc>
          <w:tcPr>
            <w:tcW w:type="dxa" w:w="1587"/>
          </w:tcPr>
          <w:p>
            <w:r/>
            <w:r>
              <w:t>numeric(6,1)</w:t>
            </w:r>
          </w:p>
        </w:tc>
        <w:tc>
          <w:tcPr>
            <w:tcW w:type="dxa" w:w="1701"/>
          </w:tcPr>
          <w:p>
            <w:r/>
            <w:r>
              <w:t>Да</w:t>
            </w:r>
          </w:p>
        </w:tc>
        <w:tc>
          <w:tcPr>
            <w:tcW w:type="dxa" w:w="9411"/>
          </w:tcPr>
          <w:p>
            <w:r/>
            <w:r>
              <w:t>Продолжительность с плановым ожиданием, минуты. [СОГЛАСОВАТЬ С АРХИТЕКТОРОМ D06] (time + сумма waitTime по точкам) / 60000 с округлением half-up до 0,1 минуты один раз, после суммирования; значение вне диапазона numeric(6,1) отклоняется.</w:t>
            </w:r>
          </w:p>
        </w:tc>
      </w:tr>
      <w:tr>
        <w:tc>
          <w:tcPr>
            <w:tcW w:type="dxa" w:w="2041"/>
          </w:tcPr>
          <w:p>
            <w:r/>
            <w:r>
              <w:t>recommended_cost</w:t>
            </w:r>
          </w:p>
        </w:tc>
        <w:tc>
          <w:tcPr>
            <w:tcW w:type="dxa" w:w="1587"/>
          </w:tcPr>
          <w:p>
            <w:r/>
            <w:r>
              <w:t>int4</w:t>
            </w:r>
          </w:p>
        </w:tc>
        <w:tc>
          <w:tcPr>
            <w:tcW w:type="dxa" w:w="1701"/>
          </w:tcPr>
          <w:p>
            <w:r/>
            <w:r>
              <w:t xml:space="preserve">Да </w:t>
            </w:r>
          </w:p>
        </w:tc>
        <w:tc>
          <w:tcPr>
            <w:tcW w:type="dxa" w:w="9411"/>
          </w:tcPr>
          <w:p>
            <w:r/>
            <w:r>
              <w:t>Рекомендуемая стоимость по тарифу, копейки. Заполняется системой результатом штатного calculate (кнопка расчёта по тарифу, БТ §8.2); вручную не вводится. [СОГЛАСОВАТЬ С ЗАКАЗЧИКОМ И АРХИТЕКТОРОМ] Обязательно: без расчёта по тарифу маршрут не сохраняется. Не перезаписывается при изменении fixed_cost (БТ §12). [СОГЛАСОВАТЬ С АРХИТЕКТОРОМ D06] int4; значение вне диапазона отклоняется. [T01.4] Контракт получения результата.</w:t>
            </w:r>
          </w:p>
        </w:tc>
      </w:tr>
      <w:tr>
        <w:tc>
          <w:tcPr>
            <w:tcW w:type="dxa" w:w="2041"/>
          </w:tcPr>
          <w:p>
            <w:r/>
            <w:r>
              <w:t>fixed_cost</w:t>
            </w:r>
          </w:p>
        </w:tc>
        <w:tc>
          <w:tcPr>
            <w:tcW w:type="dxa" w:w="1587"/>
          </w:tcPr>
          <w:p>
            <w:r/>
            <w:r>
              <w:t>int4</w:t>
            </w:r>
          </w:p>
        </w:tc>
        <w:tc>
          <w:tcPr>
            <w:tcW w:type="dxa" w:w="1701"/>
          </w:tcPr>
          <w:p>
            <w:r/>
            <w:r>
              <w:t>Да</w:t>
            </w:r>
          </w:p>
        </w:tc>
        <w:tc>
          <w:tcPr>
            <w:tcW w:type="dxa" w:w="9411"/>
          </w:tcPr>
          <w:p>
            <w:r/>
            <w:r>
              <w:t>Фиксированная цена из прайса, утверждённого приказом/документом; копейки, &gt; 0. Включает платные дороги и парковку (БТ §6.3). Вводится пользователем только вручную и не предзаполняется значением recommended. [СОГЛАСОВАТЬ С АРХИТЕКТОРОМ D06] int4, как recommended_cost.</w:t>
            </w:r>
          </w:p>
        </w:tc>
      </w:tr>
      <w:tr>
        <w:tc>
          <w:tcPr>
            <w:tcW w:type="dxa" w:w="2041"/>
          </w:tcPr>
          <w:p>
            <w:r/>
            <w:r>
              <w:t>is_night_tariff</w:t>
            </w:r>
          </w:p>
        </w:tc>
        <w:tc>
          <w:tcPr>
            <w:tcW w:type="dxa" w:w="1587"/>
          </w:tcPr>
          <w:p>
            <w:r/>
            <w:r>
              <w:t>boolean</w:t>
            </w:r>
          </w:p>
        </w:tc>
        <w:tc>
          <w:tcPr>
            <w:tcW w:type="dxa" w:w="1701"/>
          </w:tcPr>
          <w:p>
            <w:r/>
            <w:r>
              <w:t>Да / false</w:t>
            </w:r>
          </w:p>
        </w:tc>
        <w:tc>
          <w:tcPr>
            <w:tcW w:type="dxa" w:w="9411"/>
          </w:tcPr>
          <w:p>
            <w:r/>
            <w:r>
              <w:t>Признак ночного тарифа (22:00–06:00). Ночной и дневной маршруты — отдельные записи со своей ценой (БТ §6.1). Хранится для UI и фильтрации. TAXI: совпадает с тарифом tariff_id, валидируется при сохранении. GROUP_TRANSFER: единственный источник признака — в тарифе трансфера его нет.</w:t>
            </w:r>
          </w:p>
        </w:tc>
      </w:tr>
      <w:tr>
        <w:tc>
          <w:tcPr>
            <w:tcW w:type="dxa" w:w="2041"/>
          </w:tcPr>
          <w:p>
            <w:r/>
            <w:r>
              <w:t>valid_from / valid_to</w:t>
            </w:r>
          </w:p>
        </w:tc>
        <w:tc>
          <w:tcPr>
            <w:tcW w:type="dxa" w:w="1587"/>
          </w:tcPr>
          <w:p>
            <w:r/>
            <w:r>
              <w:t>date</w:t>
            </w:r>
          </w:p>
        </w:tc>
        <w:tc>
          <w:tcPr>
            <w:tcW w:type="dxa" w:w="1701"/>
          </w:tcPr>
          <w:p>
            <w:r/>
            <w:r>
              <w:t>Нет [СОГЛАСОВАТЬ С заказчиком]</w:t>
            </w:r>
          </w:p>
        </w:tc>
        <w:tc>
          <w:tcPr>
            <w:tcW w:type="dxa" w:w="9411"/>
          </w:tcPr>
          <w:p>
            <w:r/>
            <w:r>
              <w:t>Календарный период действия маршрута: сезонность; valid_from ≤ valid_to. В списке выбора — только активные записи с действующим на текущую дату периодом (БТ §7.1, §12). Период истёкшего маршрута не продлевается.</w:t>
            </w:r>
          </w:p>
        </w:tc>
      </w:tr>
      <w:tr>
        <w:tc>
          <w:tcPr>
            <w:tcW w:type="dxa" w:w="2041"/>
          </w:tcPr>
          <w:p>
            <w:r/>
            <w:r>
              <w:t>is_active</w:t>
            </w:r>
          </w:p>
        </w:tc>
        <w:tc>
          <w:tcPr>
            <w:tcW w:type="dxa" w:w="1587"/>
          </w:tcPr>
          <w:p>
            <w:r/>
            <w:r>
              <w:t>boolean</w:t>
            </w:r>
          </w:p>
        </w:tc>
        <w:tc>
          <w:tcPr>
            <w:tcW w:type="dxa" w:w="1701"/>
          </w:tcPr>
          <w:p>
            <w:r/>
            <w:r>
              <w:t>Да / true</w:t>
            </w:r>
          </w:p>
        </w:tc>
        <w:tc>
          <w:tcPr>
            <w:tcW w:type="dxa" w:w="9411"/>
          </w:tcPr>
          <w:p>
            <w:r/>
            <w:r>
              <w:t>false — маршрут удалён вручную (деактивирован). Восстановление и продление не допускаются, поэтому причину неактивности хранить не требуется. История сохраняется. Удалённый и истёкший маршруты доступны только для чтения: запрос на изменение отклоняется (T01.2). [СОГЛАСОВАТЬ С АРХИТЕКТОРОМ] Истечение срока (БТ §8.4, §9.2) определяется по valid_to при чтении, is_active при этом не меняется; реализация — T01.2. Деактивация выполняется запросом PATCH или POST с телом (с version); DELETE без тела не используется, чтобы правило передачи version было единым. Деактивация увеличивает version и записывается в историю (поле is_active). [СОГЛАСОВАТЬ С АРХИТЕКТОРОМ]</w:t>
            </w:r>
          </w:p>
        </w:tc>
      </w:tr>
      <w:tr>
        <w:tc>
          <w:tcPr>
            <w:tcW w:type="dxa" w:w="2041"/>
          </w:tcPr>
          <w:p>
            <w:r/>
            <w:r>
              <w:t>tariff_id</w:t>
            </w:r>
          </w:p>
        </w:tc>
        <w:tc>
          <w:tcPr>
            <w:tcW w:type="dxa" w:w="1587"/>
          </w:tcPr>
          <w:p>
            <w:r/>
            <w:r>
              <w:t>uuid</w:t>
            </w:r>
          </w:p>
        </w:tc>
        <w:tc>
          <w:tcPr>
            <w:tcW w:type="dxa" w:w="1701"/>
          </w:tcPr>
          <w:p>
            <w:r/>
            <w:r>
              <w:t>Да</w:t>
            </w:r>
          </w:p>
        </w:tc>
        <w:tc>
          <w:tcPr>
            <w:tcW w:type="dxa" w:w="9411"/>
          </w:tcPr>
          <w:p>
            <w:r/>
            <w:r>
              <w:t>UUID действующего связанного тарифа (БТ §5) без межсервисного FK. При истечении тарифа маршрут недоступен для новой заявки. [СОГЛАСОВАТЬ С ЗАКАЗЧИКОМ И АРХИТЕКТОРОМ] Хранится клиентский тариф (tariffId заявки), а не тариф перевозчика (outcomeTariffId). [СОГЛАСОВАТЬ С АРХИТЕКТОРОМ Q06/Q13] Активность тарифа проверяется при выдаче списка тем же вызовом TariffService, что и бесплатное ожидание; реализация — T01.2/T01.4.</w:t>
            </w:r>
          </w:p>
        </w:tc>
      </w:tr>
      <w:tr>
        <w:tc>
          <w:tcPr>
            <w:tcW w:type="dxa" w:w="2041"/>
          </w:tcPr>
          <w:p>
            <w:r/>
            <w:r>
              <w:t>organization_id</w:t>
            </w:r>
          </w:p>
        </w:tc>
        <w:tc>
          <w:tcPr>
            <w:tcW w:type="dxa" w:w="1587"/>
          </w:tcPr>
          <w:p>
            <w:r/>
            <w:r>
              <w:t>uuid</w:t>
            </w:r>
          </w:p>
        </w:tc>
        <w:tc>
          <w:tcPr>
            <w:tcW w:type="dxa" w:w="1701"/>
          </w:tcPr>
          <w:p>
            <w:r/>
            <w:r>
              <w:t>Да</w:t>
            </w:r>
          </w:p>
        </w:tc>
        <w:tc>
          <w:tcPr>
            <w:tcW w:type="dxa" w:w="9411"/>
          </w:tcPr>
          <w:p>
            <w:r/>
            <w:r>
              <w:t>UUID организации внешнего сервиса, без межсервисного FK.</w:t>
            </w:r>
          </w:p>
        </w:tc>
      </w:tr>
      <w:tr>
        <w:tc>
          <w:tcPr>
            <w:tcW w:type="dxa" w:w="2041"/>
          </w:tcPr>
          <w:p>
            <w:r/>
            <w:r>
              <w:t>created_by</w:t>
            </w:r>
          </w:p>
        </w:tc>
        <w:tc>
          <w:tcPr>
            <w:tcW w:type="dxa" w:w="1587"/>
          </w:tcPr>
          <w:p>
            <w:r/>
            <w:r>
              <w:t>uuid</w:t>
            </w:r>
          </w:p>
        </w:tc>
        <w:tc>
          <w:tcPr>
            <w:tcW w:type="dxa" w:w="1701"/>
          </w:tcPr>
          <w:p>
            <w:r/>
            <w:r>
              <w:t>Да</w:t>
            </w:r>
          </w:p>
        </w:tc>
        <w:tc>
          <w:tcPr>
            <w:tcW w:type="dxa" w:w="9411"/>
          </w:tcPr>
          <w:p>
            <w:r/>
            <w:r>
              <w:t>Автор записи. UUID пользователя внешнего сервиса</w:t>
            </w:r>
          </w:p>
        </w:tc>
      </w:tr>
      <w:tr>
        <w:tc>
          <w:tcPr>
            <w:tcW w:type="dxa" w:w="2041"/>
          </w:tcPr>
          <w:p>
            <w:r/>
            <w:r>
              <w:t>updated_by</w:t>
            </w:r>
          </w:p>
        </w:tc>
        <w:tc>
          <w:tcPr>
            <w:tcW w:type="dxa" w:w="1587"/>
          </w:tcPr>
          <w:p>
            <w:r/>
            <w:r>
              <w:t>uuid</w:t>
            </w:r>
          </w:p>
        </w:tc>
        <w:tc>
          <w:tcPr>
            <w:tcW w:type="dxa" w:w="1701"/>
          </w:tcPr>
          <w:p>
            <w:r/>
            <w:r>
              <w:t>Да</w:t>
            </w:r>
          </w:p>
        </w:tc>
        <w:tc>
          <w:tcPr>
            <w:tcW w:type="dxa" w:w="9411"/>
          </w:tcPr>
          <w:p>
            <w:r/>
            <w:r>
              <w:t>UUID пользователя, последним сохранившего запись. Заполняется сервисом при каждом сохранении вместе с updated_at и version; при создании равен created_by. Технические поля (id, favorite_route_number, organization_id, created_by, created_at, updated_by, updated_at, version) пользователь не редактирует.</w:t>
            </w:r>
          </w:p>
        </w:tc>
      </w:tr>
      <w:tr>
        <w:tc>
          <w:tcPr>
            <w:tcW w:type="dxa" w:w="2041"/>
          </w:tcPr>
          <w:p>
            <w:r/>
            <w:r>
              <w:t>created_at</w:t>
            </w:r>
          </w:p>
        </w:tc>
        <w:tc>
          <w:tcPr>
            <w:tcW w:type="dxa" w:w="1587"/>
          </w:tcPr>
          <w:p>
            <w:r/>
            <w:r>
              <w:t>timestamptz</w:t>
            </w:r>
          </w:p>
        </w:tc>
        <w:tc>
          <w:tcPr>
            <w:tcW w:type="dxa" w:w="1701"/>
          </w:tcPr>
          <w:p>
            <w:r/>
            <w:r>
              <w:t>Да / now()</w:t>
            </w:r>
          </w:p>
        </w:tc>
        <w:tc>
          <w:tcPr>
            <w:tcW w:type="dxa" w:w="9411"/>
          </w:tcPr>
          <w:p>
            <w:r/>
            <w:r>
              <w:t>Дата и время создания</w:t>
            </w:r>
          </w:p>
        </w:tc>
      </w:tr>
      <w:tr>
        <w:tc>
          <w:tcPr>
            <w:tcW w:type="dxa" w:w="2041"/>
          </w:tcPr>
          <w:p>
            <w:r/>
            <w:r>
              <w:t>updated_at</w:t>
            </w:r>
          </w:p>
        </w:tc>
        <w:tc>
          <w:tcPr>
            <w:tcW w:type="dxa" w:w="1587"/>
          </w:tcPr>
          <w:p>
            <w:r/>
            <w:r>
              <w:t>timestamptz</w:t>
            </w:r>
          </w:p>
        </w:tc>
        <w:tc>
          <w:tcPr>
            <w:tcW w:type="dxa" w:w="1701"/>
          </w:tcPr>
          <w:p>
            <w:r/>
            <w:r>
              <w:t>Да / now()</w:t>
            </w:r>
          </w:p>
        </w:tc>
        <w:tc>
          <w:tcPr>
            <w:tcW w:type="dxa" w:w="9411"/>
          </w:tcPr>
          <w:p>
            <w:r/>
            <w:r>
              <w:t>Дата и время последнего изменения</w:t>
            </w:r>
          </w:p>
        </w:tc>
      </w:tr>
      <w:tr>
        <w:tc>
          <w:tcPr>
            <w:tcW w:type="dxa" w:w="2041"/>
          </w:tcPr>
          <w:p>
            <w:r/>
            <w:r>
              <w:t>version</w:t>
            </w:r>
          </w:p>
        </w:tc>
        <w:tc>
          <w:tcPr>
            <w:tcW w:type="dxa" w:w="1587"/>
          </w:tcPr>
          <w:p>
            <w:r/>
            <w:r>
              <w:rPr>
                <w:b/>
              </w:rPr>
              <w:t>int8</w:t>
            </w:r>
          </w:p>
        </w:tc>
        <w:tc>
          <w:tcPr>
            <w:tcW w:type="dxa" w:w="1701"/>
          </w:tcPr>
          <w:p>
            <w:r/>
            <w:r>
              <w:t>Да / 0</w:t>
            </w:r>
          </w:p>
        </w:tc>
        <w:tc>
          <w:tcPr>
            <w:tcW w:type="dxa" w:w="9411"/>
          </w:tcPr>
          <w:p>
            <w:r/>
            <w:r>
              <w:t>Версия записи для оптимистичной блокировки (JPA @Version). Клиент передаёт версию в теле запроса, поле обязательно (при отсутствии — 400 в формате ExceptionBody через RequestExceptionHandler). При расхождении — 409 в формате ExceptionBody из transport_core: message — код OPTIMISTIC_LOCK_CONFLICT; entity {name: FavoriteRoute, id}; problems [ {field: "version", value: "&lt;текущая версия&gt;"} ]; интерфейс сообщает об изменении другим пользователем. [СОГЛАСОВАТЬ С АРХИТЕКТОРОМ] Номер версии пишется в историю как route_version (D04). Реализация — T01.2.</w:t>
            </w:r>
          </w:p>
        </w:tc>
      </w:tr>
    </w:tbl>
    <w:p>
      <w:pPr>
        <w:pStyle w:val="Heading2"/>
      </w:pPr>
      <w:r>
        <w:t>Поля favorite_route_history (БТ §10.2; реализация — D04)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2041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1587"/>
          </w:tcPr>
          <w:p>
            <w:r/>
            <w:r>
              <w:rPr>
                <w:b/>
              </w:rPr>
              <w:t>Тип</w:t>
            </w:r>
          </w:p>
        </w:tc>
        <w:tc>
          <w:tcPr>
            <w:tcW w:type="dxa" w:w="1701"/>
          </w:tcPr>
          <w:p>
            <w:r/>
            <w:r>
              <w:rPr>
                <w:b/>
              </w:rPr>
              <w:t>Обяз / default</w:t>
            </w:r>
          </w:p>
        </w:tc>
        <w:tc>
          <w:tcPr>
            <w:tcW w:type="dxa" w:w="9411"/>
          </w:tcPr>
          <w:p>
            <w:r/>
            <w:r>
              <w:rPr>
                <w:b/>
              </w:rPr>
              <w:t>Назначение и правило</w:t>
            </w:r>
          </w:p>
        </w:tc>
      </w:tr>
      <w:tr>
        <w:tc>
          <w:tcPr>
            <w:tcW w:type="dxa" w:w="2041"/>
          </w:tcPr>
          <w:p>
            <w:r/>
            <w:r>
              <w:t>id</w:t>
            </w:r>
          </w:p>
        </w:tc>
        <w:tc>
          <w:tcPr>
            <w:tcW w:type="dxa" w:w="1587"/>
          </w:tcPr>
          <w:p>
            <w:r/>
            <w:r>
              <w:t>uuid</w:t>
            </w:r>
          </w:p>
        </w:tc>
        <w:tc>
          <w:tcPr>
            <w:tcW w:type="dxa" w:w="1701"/>
          </w:tcPr>
          <w:p>
            <w:r/>
            <w:r>
              <w:t>Да</w:t>
            </w:r>
          </w:p>
        </w:tc>
        <w:tc>
          <w:tcPr>
            <w:tcW w:type="dxa" w:w="9411"/>
          </w:tcPr>
          <w:p>
            <w:r/>
            <w:r>
              <w:t>Идентификатор записи истории. Генерируется приложением</w:t>
            </w:r>
          </w:p>
        </w:tc>
      </w:tr>
      <w:tr>
        <w:tc>
          <w:tcPr>
            <w:tcW w:type="dxa" w:w="2041"/>
          </w:tcPr>
          <w:p>
            <w:r/>
            <w:r>
              <w:t>favorite_route_id</w:t>
            </w:r>
          </w:p>
        </w:tc>
        <w:tc>
          <w:tcPr>
            <w:tcW w:type="dxa" w:w="1587"/>
          </w:tcPr>
          <w:p>
            <w:r/>
            <w:r>
              <w:t>uuid</w:t>
            </w:r>
          </w:p>
        </w:tc>
        <w:tc>
          <w:tcPr>
            <w:tcW w:type="dxa" w:w="1701"/>
          </w:tcPr>
          <w:p>
            <w:r/>
            <w:r>
              <w:t>Да</w:t>
            </w:r>
          </w:p>
        </w:tc>
        <w:tc>
          <w:tcPr>
            <w:tcW w:type="dxa" w:w="9411"/>
          </w:tcPr>
          <w:p>
            <w:r/>
            <w:r>
              <w:t>FK на favorite_route.id</w:t>
            </w:r>
          </w:p>
        </w:tc>
      </w:tr>
      <w:tr>
        <w:tc>
          <w:tcPr>
            <w:tcW w:type="dxa" w:w="2041"/>
          </w:tcPr>
          <w:p>
            <w:r/>
            <w:r>
              <w:t>route_version</w:t>
            </w:r>
          </w:p>
        </w:tc>
        <w:tc>
          <w:tcPr>
            <w:tcW w:type="dxa" w:w="1587"/>
          </w:tcPr>
          <w:p>
            <w:r/>
            <w:r>
              <w:rPr>
                <w:b/>
              </w:rPr>
              <w:t>int8</w:t>
            </w:r>
          </w:p>
        </w:tc>
        <w:tc>
          <w:tcPr>
            <w:tcW w:type="dxa" w:w="1701"/>
          </w:tcPr>
          <w:p>
            <w:r/>
            <w:r>
              <w:t>Да</w:t>
            </w:r>
          </w:p>
        </w:tc>
        <w:tc>
          <w:tcPr>
            <w:tcW w:type="dxa" w:w="9411"/>
          </w:tcPr>
          <w:p>
            <w:r/>
            <w:r>
              <w:t>Версия favorite_route после сохранения: строки одного сохранения имеют один номер, порядок изменений — по номеру, исходная запись — 0. Тип совпадает с favorite_route.version. [СОГЛАСОВАТЬ С АРХИТЕКТОРОМ D04]</w:t>
            </w:r>
          </w:p>
        </w:tc>
      </w:tr>
      <w:tr>
        <w:tc>
          <w:tcPr>
            <w:tcW w:type="dxa" w:w="2041"/>
          </w:tcPr>
          <w:p>
            <w:r/>
            <w:r>
              <w:t>changed_by</w:t>
            </w:r>
          </w:p>
        </w:tc>
        <w:tc>
          <w:tcPr>
            <w:tcW w:type="dxa" w:w="1587"/>
          </w:tcPr>
          <w:p>
            <w:r/>
            <w:r>
              <w:t>uuid</w:t>
            </w:r>
          </w:p>
        </w:tc>
        <w:tc>
          <w:tcPr>
            <w:tcW w:type="dxa" w:w="1701"/>
          </w:tcPr>
          <w:p>
            <w:r/>
            <w:r>
              <w:t>Да</w:t>
            </w:r>
          </w:p>
        </w:tc>
        <w:tc>
          <w:tcPr>
            <w:tcW w:type="dxa" w:w="9411"/>
          </w:tcPr>
          <w:p>
            <w:r/>
            <w:r>
              <w:t>UUID пользователя, выполнившего изменение</w:t>
            </w:r>
          </w:p>
        </w:tc>
      </w:tr>
      <w:tr>
        <w:tc>
          <w:tcPr>
            <w:tcW w:type="dxa" w:w="2041"/>
          </w:tcPr>
          <w:p>
            <w:r/>
            <w:r>
              <w:t>changed_at</w:t>
            </w:r>
          </w:p>
        </w:tc>
        <w:tc>
          <w:tcPr>
            <w:tcW w:type="dxa" w:w="1587"/>
          </w:tcPr>
          <w:p>
            <w:r/>
            <w:r>
              <w:t>timestamptz</w:t>
            </w:r>
          </w:p>
        </w:tc>
        <w:tc>
          <w:tcPr>
            <w:tcW w:type="dxa" w:w="1701"/>
          </w:tcPr>
          <w:p>
            <w:r/>
            <w:r>
              <w:t>Да / now()</w:t>
            </w:r>
          </w:p>
        </w:tc>
        <w:tc>
          <w:tcPr>
            <w:tcW w:type="dxa" w:w="9411"/>
          </w:tcPr>
          <w:p>
            <w:r/>
            <w:r>
              <w:t>Дата и время изменения</w:t>
            </w:r>
          </w:p>
        </w:tc>
      </w:tr>
      <w:tr>
        <w:tc>
          <w:tcPr>
            <w:tcW w:type="dxa" w:w="2041"/>
          </w:tcPr>
          <w:p>
            <w:r/>
            <w:r>
              <w:t>field_name</w:t>
            </w:r>
          </w:p>
        </w:tc>
        <w:tc>
          <w:tcPr>
            <w:tcW w:type="dxa" w:w="1587"/>
          </w:tcPr>
          <w:p>
            <w:r/>
            <w:r>
              <w:t>varchar(64)</w:t>
            </w:r>
          </w:p>
        </w:tc>
        <w:tc>
          <w:tcPr>
            <w:tcW w:type="dxa" w:w="1701"/>
          </w:tcPr>
          <w:p>
            <w:r/>
            <w:r>
              <w:t>Да</w:t>
            </w:r>
          </w:p>
        </w:tc>
        <w:tc>
          <w:tcPr>
            <w:tcW w:type="dxa" w:w="9411"/>
          </w:tcPr>
          <w:p>
            <w:r/>
            <w:r>
              <w:t>Имя изменённого поля favorite_route — одно из восстанавливаемых полей (раздел 5). Значение — имя колонки БД в snake_case, например fixed_cost. [СОГЛАСОВАТЬ С АРХИТЕКТОРОМ] Перечень закрепляется проверкой CHECK в БД и перечислением в коде сервиса (T01.2).</w:t>
            </w:r>
          </w:p>
        </w:tc>
      </w:tr>
      <w:tr>
        <w:tc>
          <w:tcPr>
            <w:tcW w:type="dxa" w:w="2041"/>
          </w:tcPr>
          <w:p>
            <w:r/>
            <w:r>
              <w:t>old_value</w:t>
            </w:r>
          </w:p>
        </w:tc>
        <w:tc>
          <w:tcPr>
            <w:tcW w:type="dxa" w:w="1587"/>
          </w:tcPr>
          <w:p>
            <w:r/>
            <w:r>
              <w:t>text</w:t>
            </w:r>
          </w:p>
        </w:tc>
        <w:tc>
          <w:tcPr>
            <w:tcW w:type="dxa" w:w="1701"/>
          </w:tcPr>
          <w:p>
            <w:r/>
            <w:r>
              <w:t>Нет</w:t>
            </w:r>
          </w:p>
        </w:tc>
        <w:tc>
          <w:tcPr>
            <w:tcW w:type="dxa" w:w="9411"/>
          </w:tcPr>
          <w:p>
            <w:r/>
            <w:r>
              <w:t>Значение до изменения; при создании маршрута пусто</w:t>
            </w:r>
          </w:p>
        </w:tc>
      </w:tr>
      <w:tr>
        <w:tc>
          <w:tcPr>
            <w:tcW w:type="dxa" w:w="2041"/>
          </w:tcPr>
          <w:p>
            <w:r/>
            <w:r>
              <w:t>new_value</w:t>
            </w:r>
          </w:p>
        </w:tc>
        <w:tc>
          <w:tcPr>
            <w:tcW w:type="dxa" w:w="1587"/>
          </w:tcPr>
          <w:p>
            <w:r/>
            <w:r>
              <w:t>text</w:t>
            </w:r>
          </w:p>
        </w:tc>
        <w:tc>
          <w:tcPr>
            <w:tcW w:type="dxa" w:w="1701"/>
          </w:tcPr>
          <w:p>
            <w:r/>
            <w:r>
              <w:t>Нет</w:t>
            </w:r>
          </w:p>
        </w:tc>
        <w:tc>
          <w:tcPr>
            <w:tcW w:type="dxa" w:w="9411"/>
          </w:tcPr>
          <w:p>
            <w:r/>
            <w:r>
              <w:t>Значение после изменения; для waypoints — JSON целиком</w:t>
            </w:r>
          </w:p>
        </w:tc>
      </w:tr>
    </w:tbl>
    <w:p>
      <w:pPr>
        <w:pStyle w:val="Heading2"/>
      </w:pPr>
      <w:r>
        <w:t>Изменения в DDL (раздел 6)</w:t>
      </w:r>
    </w:p>
    <w:p>
      <w:r>
        <w:t>В таблице favorite_route: version int8 NOT NULL DEFAULT 0 (было int4). В таблице favorite_route_history: route_version int8 NOT NULL (было int4). В Java: поле @Version типа Long. Ограничение UNIQUE (favorite_route_id, field_name, route_version) не меняется.</w:t>
      </w:r>
    </w:p>
    <w:p>
      <w:pPr>
        <w:pStyle w:val="Heading2"/>
      </w:pPr>
      <w:r>
        <w:t>Что осталось без изменений и требует решения</w:t>
      </w:r>
    </w:p>
    <w:p>
      <w:pPr>
        <w:pStyle w:val="ListBullet"/>
      </w:pPr>
      <w:r>
        <w:t>tariff_id: текст «При истечении тарифа маршрут недоступен…» и проверка активности при выдаче списка не согласуются с тем, что тариф при загрузке получает новый id (П1). Решение по привязке тарифа и по проверке доступности в списке — за архитектором и T01.4.</w:t>
      </w:r>
    </w:p>
    <w:p>
      <w:pPr>
        <w:pStyle w:val="ListBullet"/>
      </w:pPr>
      <w:r>
        <w:t>service_class: фраза «используются все классы платформы» неточна — в TaxiClass есть ещё четыре автобусных класса (П5).</w:t>
      </w:r>
    </w:p>
    <w:p>
      <w:pPr>
        <w:pStyle w:val="ListBullet"/>
      </w:pPr>
      <w:r>
        <w:t>waypoints: имя и единица waitTime решены (waitTime, int64, мс); остальные [СОГЛАСОВАТЬ] без изменений.</w:t>
      </w:r>
    </w:p>
    <w:p>
      <w:pPr>
        <w:pStyle w:val="Heading2"/>
      </w:pPr>
      <w:r>
        <w:t>Служебная таблица company_sq (счётчик номера маршрута)</w:t>
      </w:r>
    </w:p>
    <w:p>
      <w:r>
        <w:t>[СОГЛАСОВАТЬ С АРХИТЕКТОРОМ П2] Таблица нужна штатной библиотеке human-readable-generator: в каждом сервисе своя таблица, сущность и репозиторий. Образец — request.company_sq (сервис заявок). Префикс FR задаётся в сервисе избранных маршрутов. Если архитектор выберет собственный счётчик (UPDATE … RETURNING) вместо библиотеки, структура может измениться.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2041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1587"/>
          </w:tcPr>
          <w:p>
            <w:r/>
            <w:r>
              <w:rPr>
                <w:b/>
              </w:rPr>
              <w:t>Тип</w:t>
            </w:r>
          </w:p>
        </w:tc>
        <w:tc>
          <w:tcPr>
            <w:tcW w:type="dxa" w:w="1701"/>
          </w:tcPr>
          <w:p>
            <w:r/>
            <w:r>
              <w:rPr>
                <w:b/>
              </w:rPr>
              <w:t>Обяз / default</w:t>
            </w:r>
          </w:p>
        </w:tc>
        <w:tc>
          <w:tcPr>
            <w:tcW w:type="dxa" w:w="9411"/>
          </w:tcPr>
          <w:p>
            <w:r/>
            <w:r>
              <w:rPr>
                <w:b/>
              </w:rPr>
              <w:t>Назначение и правило</w:t>
            </w:r>
          </w:p>
        </w:tc>
      </w:tr>
      <w:tr>
        <w:tc>
          <w:tcPr>
            <w:tcW w:type="dxa" w:w="2041"/>
          </w:tcPr>
          <w:p>
            <w:r>
              <w:t>id</w:t>
            </w:r>
          </w:p>
        </w:tc>
        <w:tc>
          <w:tcPr>
            <w:tcW w:type="dxa" w:w="1587"/>
          </w:tcPr>
          <w:p>
            <w:r>
              <w:t>uuid</w:t>
            </w:r>
          </w:p>
        </w:tc>
        <w:tc>
          <w:tcPr>
            <w:tcW w:type="dxa" w:w="1701"/>
          </w:tcPr>
          <w:p>
            <w:r>
              <w:t>Да</w:t>
            </w:r>
          </w:p>
        </w:tc>
        <w:tc>
          <w:tcPr>
            <w:tcW w:type="dxa" w:w="9411"/>
          </w:tcPr>
          <w:p>
            <w:r>
              <w:t>Первичный ключ. Генерируется приложением</w:t>
            </w:r>
          </w:p>
        </w:tc>
      </w:tr>
      <w:tr>
        <w:tc>
          <w:tcPr>
            <w:tcW w:type="dxa" w:w="2041"/>
          </w:tcPr>
          <w:p>
            <w:r>
              <w:t>prefix</w:t>
            </w:r>
          </w:p>
        </w:tc>
        <w:tc>
          <w:tcPr>
            <w:tcW w:type="dxa" w:w="1587"/>
          </w:tcPr>
          <w:p>
            <w:r>
              <w:t>varchar(2)</w:t>
            </w:r>
          </w:p>
        </w:tc>
        <w:tc>
          <w:tcPr>
            <w:tcW w:type="dxa" w:w="1701"/>
          </w:tcPr>
          <w:p>
            <w:r>
              <w:t>Да</w:t>
            </w:r>
          </w:p>
        </w:tc>
        <w:tc>
          <w:tcPr>
            <w:tcW w:type="dxa" w:w="9411"/>
          </w:tcPr>
          <w:p>
            <w:r>
              <w:t>Код сущности. Для избранных маршрутов — FR</w:t>
            </w:r>
          </w:p>
        </w:tc>
      </w:tr>
      <w:tr>
        <w:tc>
          <w:tcPr>
            <w:tcW w:type="dxa" w:w="2041"/>
          </w:tcPr>
          <w:p>
            <w:r>
              <w:t>orgdigitid</w:t>
            </w:r>
          </w:p>
        </w:tc>
        <w:tc>
          <w:tcPr>
            <w:tcW w:type="dxa" w:w="1587"/>
          </w:tcPr>
          <w:p>
            <w:r>
              <w:t>numeric</w:t>
            </w:r>
          </w:p>
        </w:tc>
        <w:tc>
          <w:tcPr>
            <w:tcW w:type="dxa" w:w="1701"/>
          </w:tcPr>
          <w:p>
            <w:r>
              <w:t>Да</w:t>
            </w:r>
          </w:p>
        </w:tc>
        <w:tc>
          <w:tcPr>
            <w:tcW w:type="dxa" w:w="9411"/>
          </w:tcPr>
          <w:p>
            <w:r>
              <w:t>Числовой код организации (digitId, 1–9999). Берётся у организации; в favorite_route не хранится. Логическая связь с organization.digitId, внешнего ключа нет</w:t>
            </w:r>
          </w:p>
        </w:tc>
      </w:tr>
      <w:tr>
        <w:tc>
          <w:tcPr>
            <w:tcW w:type="dxa" w:w="2041"/>
          </w:tcPr>
          <w:p>
            <w:r>
              <w:t>sq</w:t>
            </w:r>
          </w:p>
        </w:tc>
        <w:tc>
          <w:tcPr>
            <w:tcW w:type="dxa" w:w="1587"/>
          </w:tcPr>
          <w:p>
            <w:r>
              <w:t>numeric</w:t>
            </w:r>
          </w:p>
        </w:tc>
        <w:tc>
          <w:tcPr>
            <w:tcW w:type="dxa" w:w="1701"/>
          </w:tcPr>
          <w:p>
            <w:r>
              <w:t>Да</w:t>
            </w:r>
          </w:p>
        </w:tc>
        <w:tc>
          <w:tcPr>
            <w:tcW w:type="dxa" w:w="9411"/>
          </w:tcPr>
          <w:p>
            <w:r>
              <w:t>Последний выданный порядковый номер в рамках пары prefix + orgdigitid</w:t>
            </w:r>
          </w:p>
        </w:tc>
      </w:tr>
      <w:tr>
        <w:tc>
          <w:tcPr>
            <w:tcW w:type="dxa" w:w="2041"/>
          </w:tcPr>
          <w:p>
            <w:r>
              <w:t>dt_insert</w:t>
            </w:r>
          </w:p>
        </w:tc>
        <w:tc>
          <w:tcPr>
            <w:tcW w:type="dxa" w:w="1587"/>
          </w:tcPr>
          <w:p>
            <w:r>
              <w:t>timestamptz</w:t>
            </w:r>
          </w:p>
        </w:tc>
        <w:tc>
          <w:tcPr>
            <w:tcW w:type="dxa" w:w="1701"/>
          </w:tcPr>
          <w:p>
            <w:r>
              <w:t>Да / now()</w:t>
            </w:r>
          </w:p>
        </w:tc>
        <w:tc>
          <w:tcPr>
            <w:tcW w:type="dxa" w:w="9411"/>
          </w:tcPr>
          <w:p>
            <w:r>
              <w:t>Дата и время создания записи</w:t>
            </w:r>
          </w:p>
        </w:tc>
      </w:tr>
      <w:tr>
        <w:tc>
          <w:tcPr>
            <w:tcW w:type="dxa" w:w="2041"/>
          </w:tcPr>
          <w:p>
            <w:r>
              <w:t>dt_modify</w:t>
            </w:r>
          </w:p>
        </w:tc>
        <w:tc>
          <w:tcPr>
            <w:tcW w:type="dxa" w:w="1587"/>
          </w:tcPr>
          <w:p>
            <w:r>
              <w:t>timestamptz</w:t>
            </w:r>
          </w:p>
        </w:tc>
        <w:tc>
          <w:tcPr>
            <w:tcW w:type="dxa" w:w="1701"/>
          </w:tcPr>
          <w:p>
            <w:r>
              <w:t>Да / now()</w:t>
            </w:r>
          </w:p>
        </w:tc>
        <w:tc>
          <w:tcPr>
            <w:tcW w:type="dxa" w:w="9411"/>
          </w:tcPr>
          <w:p>
            <w:r>
              <w:t>Дата и время изменения записи</w:t>
            </w:r>
          </w:p>
        </w:tc>
      </w:tr>
    </w:tbl>
    <w:p>
      <w:r>
        <w:t>Ограничения: уникальный индекс (prefix, orgdigitid) и уникальный индекс (prefix, orgdigitid, sq) — по образцу сервиса заявок. Внешних ключей нет. Правило работы: библиотека читает строку по prefix и orgdigitid, увеличивает sq и формирует номер вида FR-0013-00000001. Блокировки нет, поэтому при одновременном создании возможен конфликт; его ловит уникальный индекс favorite_route_number, затем повтор генерации.</w:t>
      </w:r>
    </w:p>
    <w:p>
      <w:pPr>
        <w:pStyle w:val="Heading2"/>
      </w:pPr>
      <w:r>
        <w:t>Вставки в разделы 1 и 6</w:t>
      </w:r>
    </w:p>
    <w:p>
      <w:pPr>
        <w:pStyle w:val="ListBullet"/>
      </w:pPr>
      <w:r>
        <w:t>Раздел 1, абзац про задачу T01.1: добавить в перечень «сущности favorite_route и favorite_route_history» служебную таблицу company_sq.</w:t>
      </w:r>
    </w:p>
    <w:p>
      <w:pPr>
        <w:pStyle w:val="ListBullet"/>
      </w:pPr>
      <w:r>
        <w:t>Раздел 6 (DDL): заменить фразу «Таблица счётчика … в DDL не включена» на фрагмент ниже. Строка «Генерация номера — T01.2 (Q10)» в таблице полей уточнена выше.</w:t>
      </w:r>
    </w:p>
    <w:p>
      <w:pPr>
        <w:spacing w:after="0"/>
      </w:pPr>
      <w:r>
        <w:rPr>
          <w:rFonts w:ascii="Consolas" w:hAnsi="Consolas"/>
          <w:sz w:val="17"/>
        </w:rPr>
        <w:t>CREATE TABLE favorite_route.company_sq (</w:t>
      </w:r>
    </w:p>
    <w:p>
      <w:pPr>
        <w:spacing w:after="0"/>
      </w:pPr>
      <w:r>
        <w:rPr>
          <w:rFonts w:ascii="Consolas" w:hAnsi="Consolas"/>
          <w:sz w:val="17"/>
        </w:rPr>
        <w:t xml:space="preserve">  id          uuid        PRIMARY KEY,</w:t>
      </w:r>
    </w:p>
    <w:p>
      <w:pPr>
        <w:spacing w:after="0"/>
      </w:pPr>
      <w:r>
        <w:rPr>
          <w:rFonts w:ascii="Consolas" w:hAnsi="Consolas"/>
          <w:sz w:val="17"/>
        </w:rPr>
        <w:t xml:space="preserve">  prefix      varchar(2)  NOT NULL,</w:t>
      </w:r>
    </w:p>
    <w:p>
      <w:pPr>
        <w:spacing w:after="0"/>
      </w:pPr>
      <w:r>
        <w:rPr>
          <w:rFonts w:ascii="Consolas" w:hAnsi="Consolas"/>
          <w:sz w:val="17"/>
        </w:rPr>
        <w:t xml:space="preserve">  orgdigitid  numeric     NOT NULL,</w:t>
      </w:r>
    </w:p>
    <w:p>
      <w:pPr>
        <w:spacing w:after="0"/>
      </w:pPr>
      <w:r>
        <w:rPr>
          <w:rFonts w:ascii="Consolas" w:hAnsi="Consolas"/>
          <w:sz w:val="17"/>
        </w:rPr>
        <w:t xml:space="preserve">  sq          numeric     NOT NULL,</w:t>
      </w:r>
    </w:p>
    <w:p>
      <w:pPr>
        <w:spacing w:after="0"/>
      </w:pPr>
      <w:r>
        <w:rPr>
          <w:rFonts w:ascii="Consolas" w:hAnsi="Consolas"/>
          <w:sz w:val="17"/>
        </w:rPr>
        <w:t xml:space="preserve">  dt_insert   timestamptz NOT NULL DEFAULT now(),</w:t>
      </w:r>
    </w:p>
    <w:p>
      <w:pPr>
        <w:spacing w:after="0"/>
      </w:pPr>
      <w:r>
        <w:rPr>
          <w:rFonts w:ascii="Consolas" w:hAnsi="Consolas"/>
          <w:sz w:val="17"/>
        </w:rPr>
        <w:t xml:space="preserve">  dt_modify   timestamptz NOT NULL DEFAULT now()</w:t>
      </w:r>
    </w:p>
    <w:p>
      <w:pPr>
        <w:spacing w:after="0"/>
      </w:pPr>
      <w:r>
        <w:rPr>
          <w:rFonts w:ascii="Consolas" w:hAnsi="Consolas"/>
          <w:sz w:val="17"/>
        </w:rPr>
        <w:t>);</w:t>
      </w:r>
    </w:p>
    <w:p>
      <w:pPr>
        <w:spacing w:after="0"/>
      </w:pPr>
      <w:r>
        <w:rPr>
          <w:rFonts w:ascii="Consolas" w:hAnsi="Consolas"/>
          <w:sz w:val="17"/>
        </w:rPr>
        <w:t>CREATE UNIQUE INDEX ux_company_sq_1 ON favorite_route.company_sq (prefix, orgdigitid, sq);</w:t>
      </w:r>
    </w:p>
    <w:p>
      <w:pPr>
        <w:spacing w:after="0"/>
      </w:pPr>
      <w:r>
        <w:rPr>
          <w:rFonts w:ascii="Consolas" w:hAnsi="Consolas"/>
          <w:sz w:val="17"/>
        </w:rPr>
        <w:t>CREATE UNIQUE INDEX ux_company_sq_2 ON favorite_route.company_sq (prefix, orgdigitid);</w:t>
      </w:r>
    </w:p>
    <w:p>
      <w:pPr>
        <w:spacing w:after="0"/>
      </w:pPr>
      <w:r>
        <w:rPr>
          <w:rFonts w:ascii="Consolas" w:hAnsi="Consolas"/>
          <w:sz w:val="17"/>
        </w:rPr>
        <w:t>COMMENT ON TABLE  favorite_route.company_sq            IS 'Счётчик номеров по организациям';</w:t>
      </w:r>
    </w:p>
    <w:p>
      <w:pPr>
        <w:spacing w:after="0"/>
      </w:pPr>
      <w:r>
        <w:rPr>
          <w:rFonts w:ascii="Consolas" w:hAnsi="Consolas"/>
          <w:sz w:val="17"/>
        </w:rPr>
        <w:t>COMMENT ON COLUMN favorite_route.company_sq.prefix     IS 'Код сущности (FR)';</w:t>
      </w:r>
    </w:p>
    <w:p>
      <w:pPr>
        <w:spacing w:after="0"/>
      </w:pPr>
      <w:r>
        <w:rPr>
          <w:rFonts w:ascii="Consolas" w:hAnsi="Consolas"/>
          <w:sz w:val="17"/>
        </w:rPr>
        <w:t>COMMENT ON COLUMN favorite_route.company_sq.orgdigitid IS 'Числовой код организации (digitId)';</w:t>
      </w:r>
    </w:p>
    <w:p>
      <w:pPr>
        <w:spacing w:after="0"/>
      </w:pPr>
      <w:r>
        <w:rPr>
          <w:rFonts w:ascii="Consolas" w:hAnsi="Consolas"/>
          <w:sz w:val="17"/>
        </w:rPr>
        <w:t>COMMENT ON COLUMN favorite_route.company_sq.sq         IS 'Последний выданный номер в рамках префикса и организации';</w:t>
      </w:r>
    </w:p>
    <w:p>
      <w:pPr>
        <w:pStyle w:val="Heading2"/>
      </w:pPr>
      <w:r>
        <w:t>Вставка в раздел 8, блок «Параллельное редактирование»</w:t>
      </w:r>
    </w:p>
    <w:p>
      <w:r>
        <w:t>Заменить «при расхождении API отвечает 409 (T01.2)» на: [СОГЛАСОВАТЬ С АРХИТЕКТОРОМ] 409 в формате ExceptionBody (transport_core); message — код OPTIMISTIC_LOCK_CONFLICT; entity {name: FavoriteRoute, id}; problems [ {field: "version", value: "&lt;текущая версия&gt;"} ]. version передаётся в теле запроса и обязателен; при отсутствии — 400 в том же формате через RequestExceptionHandler. Деактивация — PATCH или POST с телом, DELETE без тела не используется. [КОД] @Version и ETag в пассажирских сервисах платформы не используются.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