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 по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адресному контракту, в заявку поля передаются по имени.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:860-891). Плановое ожидание избранного маршрута будет давать такую пометку у каждой заявки по нему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="00717619" w:rsidRPr="00717619">
              <w:rPr>
                <w:sz w:val="18"/>
                <w:szCs w:val="18"/>
                <w:lang w:val="ru-RU"/>
              </w:rPr>
              <w:t xml:space="preserve">Плановое ожидание избранного маршрута нарушением не является: для заявок, связанных с маршрутом, проверку </w:t>
            </w:r>
            <w:r w:rsidR="00717619" w:rsidRPr="00717619">
              <w:rPr>
                <w:sz w:val="18"/>
                <w:szCs w:val="18"/>
              </w:rPr>
              <w:t>TAXI</w:t>
            </w:r>
            <w:r w:rsidR="00717619" w:rsidRPr="00717619">
              <w:rPr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sz w:val="18"/>
                <w:szCs w:val="18"/>
              </w:rPr>
              <w:t>WAITING</w:t>
            </w:r>
            <w:r w:rsidR="00717619" w:rsidRPr="00717619">
              <w:rPr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sz w:val="18"/>
                <w:szCs w:val="18"/>
              </w:rPr>
              <w:t>TIME</w:t>
            </w:r>
            <w:r w:rsidR="00717619" w:rsidRPr="00717619">
              <w:rPr>
                <w:sz w:val="18"/>
                <w:szCs w:val="18"/>
                <w:lang w:val="ru-RU"/>
              </w:rPr>
              <w:t xml:space="preserve"> нужно пропускать; после снятия связи она применяется как обычно </w:t>
            </w:r>
            <w:r w:rsidR="00717619" w:rsidRPr="00717619">
              <w:rPr>
                <w:sz w:val="18"/>
                <w:szCs w:val="18"/>
                <w:lang w:val="ru-RU"/>
              </w:rPr>
              <w:t xml:space="preserve">(T04.1).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В хранилище ключ опускается; в заявке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допустим (проверка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его пропускает).</w:t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в заявку передаются по имени поля.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название и координаты точки, структурированного адреса нет; waitTime - Integer.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теперь хранится в необязательном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(D01); если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 заполнено, название формируется из адреса. Предлагается оставить этот состав.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km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(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7,3) без округления: расстояние приходит с точностью до метра.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маршрут должен снова стать доступным по новому тарифу (правило B, D07). Период истёкшего маршрута не продлевается.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