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вопросы-архитектору-по-t012"/>
    <w:p>
      <w:pPr>
        <w:pStyle w:val="Heading1"/>
      </w:pPr>
      <w:r>
        <w:t xml:space="preserve">Вопросы архитектору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08.10.2026.</w:t>
      </w:r>
      <w:r>
        <w:t xml:space="preserve"> </w:t>
      </w:r>
      <w:r>
        <w:t xml:space="preserve">Выделено из сводного списка «Вопросы архитектору по T01.1 и T01.2» (редакция 07.10.2026) — часть 2 перенесена без изменения нумерации и формулировок. Вопросы 25–28 добавлены по итогам сверки с T01.2 и исходным кодом.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и частично открытые вопросы. Принятые решения — в приложении, на повторное согласование не ставятся.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 проверку по исходникам (</w:t>
      </w:r>
      <w:r>
        <w:rPr>
          <w:rStyle w:val="VerbatimChar"/>
        </w:rPr>
        <w:t xml:space="preserve">tariff-main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human_readable_generator-main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14: перенесено из редакции 07.10 — 10 (№ 15–24), добавлено — 4 (№ 25–28). Блокируют утверждение OpenAPI и DDL: № 15, 17, 18, 25, 26.</w:t>
      </w:r>
    </w:p>
    <w:p>
      <w:r>
        <w:pict>
          <v:rect style="width:0;height:1.5pt" o:hralign="center" o:hrstd="t" o:hr="t"/>
        </w:pict>
      </w:r>
    </w:p>
    <w:bookmarkStart w:id="20" w:name="Xd5b070ba66421a31ef6d7eddb15348a02f34944"/>
    <w:p>
      <w:pPr>
        <w:pStyle w:val="Heading2"/>
      </w:pPr>
      <w:r>
        <w:t xml:space="preserve">Вопрос 15. Контур API: путь шлюза, формат страниц и ошибок, версия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application.yml</w:t>
      </w:r>
      <w:r>
        <w:t xml:space="preserve">): для каждого сервиса правило</w:t>
      </w:r>
      <w:r>
        <w:t xml:space="preserve"> </w:t>
      </w:r>
      <w:r>
        <w:rPr>
          <w:rStyle w:val="VerbatimChar"/>
        </w:rPr>
        <w:t xml:space="preserve">Path=/api/&lt;сервис&gt;/**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RewritePath=/api/&lt;сервис&gt;/(?&lt;segment&gt;.*), /${segment}</w:t>
      </w:r>
      <w:r>
        <w:t xml:space="preserve"> </w:t>
      </w:r>
      <w:r>
        <w:t xml:space="preserve">— префикс отбрасывается вместе с именем сервиса (</w:t>
      </w:r>
      <w:r>
        <w:rPr>
          <w:rStyle w:val="VerbatimChar"/>
        </w:rPr>
        <w:t xml:space="preserve">/api/tariffs/calculate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/calculate</w:t>
      </w:r>
      <w:r>
        <w:t xml:space="preserve">). По тому же шаблону</w:t>
      </w:r>
      <w:r>
        <w:t xml:space="preserve"> </w:t>
      </w:r>
      <w:r>
        <w:rPr>
          <w:rStyle w:val="VerbatimChar"/>
        </w:rPr>
        <w:t xml:space="preserve">/api/favorite-routes/{id}</w:t>
      </w:r>
      <w:r>
        <w:t xml:space="preserve"> </w:t>
      </w:r>
      <w:r>
        <w:t xml:space="preserve">попал бы в сервис как</w:t>
      </w:r>
      <w:r>
        <w:t xml:space="preserve"> </w:t>
      </w:r>
      <w:r>
        <w:rPr>
          <w:rStyle w:val="VerbatimChar"/>
        </w:rPr>
        <w:t xml:space="preserve">/{id}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/favorite-routes/{id}</w:t>
      </w:r>
      <w:r>
        <w:t xml:space="preserve"> </w:t>
      </w:r>
      <w:r>
        <w:t xml:space="preserve">(пути карточки TRANSPORT-45586 — без префикса).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Формат ошибок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transport_core</w:t>
      </w:r>
      <w:r>
        <w:t xml:space="preserve">) принят в сервисах заявок и корпоративном; в других (например,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Поиск в сервисе тарифов возвращает страницу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 внешний путь и правило преобразования шлюзом, формат тела ошибки, формат страницы списка и политику версий API.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/favorite-routes</w:t>
      </w:r>
      <w:r>
        <w:t xml:space="preserve"> </w:t>
      </w:r>
      <w:r>
        <w:t xml:space="preserve">(отдельное правило</w:t>
      </w:r>
      <w:r>
        <w:t xml:space="preserve"> </w:t>
      </w:r>
      <w:r>
        <w:rPr>
          <w:rStyle w:val="VerbatimChar"/>
        </w:rPr>
        <w:t xml:space="preserve">RewritePath=/api/(?&lt;segment&gt;.*), /${segment}</w:t>
      </w:r>
      <w:r>
        <w:t xml:space="preserve">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заменить на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/{путь}</w:t>
      </w:r>
      <w:r>
        <w:t xml:space="preserve"> </w:t>
      </w:r>
      <w:r>
        <w:t xml:space="preserve">по шаблону остальных сервисов (карточка меняется);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Собственный формат страницы и ошибок.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пути карточки сохраняются, формат единообразен с платформой; предел размера страницы определяет архитектор.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Блокирует OpenAPI и все пути в спецификации.</w:t>
      </w:r>
    </w:p>
    <w:p>
      <w:r>
        <w:pict>
          <v:rect style="width:0;height:1.5pt" o:hralign="center" o:hrstd="t" o:hr="t"/>
        </w:pict>
      </w:r>
    </w:p>
    <w:bookmarkEnd w:id="20"/>
    <w:bookmarkStart w:id="21" w:name="вопрос-16-права-доступа-к-справочнику"/>
    <w:p>
      <w:pPr>
        <w:pStyle w:val="Heading2"/>
      </w:pPr>
      <w:r>
        <w:t xml:space="preserve">Вопрос 16. Права доступа к справочнику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10: «доступ есть у всех, кто авторизован и имеет права». В БТ и карточке (BR-04) пользователь называется «Управляющий справочниками».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Права проверяются библиотекой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по паре «HTTP-метод + шаблон URL»; разрешённые роли хранятся в сервисе ролей; при отказе — 403. Роль с названием «Управляющий справочниками» в коде платформы не найдена.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Какая роль платформы даёт право на справочник и как зарегистрировать пары (метод, URL) за ней; нужен ли 403 или 404 для чужих записей.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Существующая роль администратора корпоративного кабинета.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Новая роль «Управляющий справочниками» в сервисе ролей.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на стенде у администратора кабинета есть доступ к «Правилам поездок → Справочник»; иначе B. Заказчику выбор не передаётся. Для чужих записей предлагается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(запись не раскрывается).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Отдельная поставка: регистрация новых пар (метод, URL) скриптами сервиса ролей.</w:t>
      </w:r>
    </w:p>
    <w:p>
      <w:r>
        <w:pict>
          <v:rect style="width:0;height:1.5pt" o:hralign="center" o:hrstd="t" o:hr="t"/>
        </w:pict>
      </w:r>
    </w:p>
    <w:bookmarkEnd w:id="21"/>
    <w:bookmarkStart w:id="22" w:name="вопрос-17-методы-изменения-и-деактивации"/>
    <w:p>
      <w:pPr>
        <w:pStyle w:val="Heading2"/>
      </w:pPr>
      <w:r>
        <w:t xml:space="preserve">Вопрос 17. Методы изменения 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Карточка TRANSPORT-45586 содержит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списка,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по id 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; метода изменения в ней нет, а изменение разрешено (протокол 10.09, п. 7) и нужно для BR-05, версий и истории. В карточке подтверждён метод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но не способ передачи версии. Версия записи (оптимистичная блокировка) должна приходить от клиента.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использовать для изменения и как передавать версию при деактивации.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Изменение: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(полная замена,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теле) или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(частичное).</w:t>
      </w:r>
    </w:p>
    <w:p>
      <w:pPr>
        <w:numPr>
          <w:ilvl w:val="0"/>
          <w:numId w:val="1003"/>
        </w:numPr>
        <w:pStyle w:val="Compact"/>
      </w:pPr>
      <w:r>
        <w:t xml:space="preserve">Деактивация: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?version=n</w:t>
      </w:r>
      <w:r>
        <w:t xml:space="preserve"> </w:t>
      </w:r>
      <w:r>
        <w:t xml:space="preserve">или заголовком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(форма сохраняет маршрут целиком, пересчёт зависит от всего набора точек);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Карточку дополнить методом изменения.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Требует правки карточки TRANSPORT-45586.</w:t>
      </w:r>
    </w:p>
    <w:p>
      <w:r>
        <w:pict>
          <v:rect style="width:0;height:1.5pt" o:hralign="center" o:hrstd="t" o:hr="t"/>
        </w:pict>
      </w:r>
    </w:p>
    <w:bookmarkEnd w:id="22"/>
    <w:bookmarkStart w:id="23" w:name="X05e6fe9c5cd77af36b1a9f7579a2c0050282e83"/>
    <w:p>
      <w:pPr>
        <w:pStyle w:val="Heading2"/>
      </w:pPr>
      <w:r>
        <w:t xml:space="preserve">Вопрос 18. Семантика PUT и входных данных, сохранение без изменений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T01.2, раздел 5.4 и раздел «Организация и технические поля». Требует единого решения в OpenAPI.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обрабатывать пропущенные необязательные поля, явный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неизвестные ключи и серверные поля во входном запросе (</w:t>
      </w:r>
      <w:r>
        <w:rPr>
          <w:rStyle w:val="VerbatimChar"/>
        </w:rPr>
        <w:t xml:space="preserve">recommendedCost</w:t>
      </w:r>
      <w:r>
        <w:t xml:space="preserve">, метрики,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авторы, даты, номер,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); как поступать при сохранении без изменений.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t xml:space="preserve">Пропуск необязательных: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очищает значение (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сохраняет прежнее.</w:t>
      </w:r>
    </w:p>
    <w:p>
      <w:pPr>
        <w:numPr>
          <w:ilvl w:val="0"/>
          <w:numId w:val="1004"/>
        </w:numPr>
        <w:pStyle w:val="Compact"/>
      </w:pPr>
      <w:r>
        <w:t xml:space="preserve">Неизвестные и серверные поля: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игнорировать (входной DTO без них;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из тела при несовпадении с токеном — 403).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400 на любое лишнее поле.</w:t>
      </w:r>
    </w:p>
    <w:p>
      <w:pPr>
        <w:numPr>
          <w:ilvl w:val="0"/>
          <w:numId w:val="1004"/>
        </w:numPr>
        <w:pStyle w:val="Compact"/>
      </w:pPr>
      <w:r>
        <w:t xml:space="preserve">Сохранение без изменений: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не сохранять,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всегда увеличивать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Пропуск — A (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замена); поля — A (поведение Spring/Jackson по умолчанию, настройку платформы проверить); без изменений — A (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Hibernate увеличивает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только если сущность изменилась).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Блокирует OpenAPI.</w:t>
      </w:r>
    </w:p>
    <w:p>
      <w:r>
        <w:pict>
          <v:rect style="width:0;height:1.5pt" o:hralign="center" o:hrstd="t" o:hr="t"/>
        </w:pict>
      </w:r>
    </w:p>
    <w:bookmarkEnd w:id="23"/>
    <w:bookmarkStart w:id="24" w:name="X11132d03156d06a931b096fe7b215e20c97f821"/>
    <w:p>
      <w:pPr>
        <w:pStyle w:val="Heading2"/>
      </w:pPr>
      <w:r>
        <w:t xml:space="preserve">Вопрос 19. Состояния записи, статус в ответе и повторный DELETE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T01.1: удалённый и истёкший маршруты доступны только для чтения; истечение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меняется. T01.2: в ответ предложено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), порядок проверок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и 204 для повтора по уже удалённой записи; код ответа на изменение удалённой или истёкшей записи в карточке не определён.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интерфейс определяет, можно ли редактировать запись; какой код ответа на изменение удалённой или истёкшей записи; как вести себя повторному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если после первого удаления версия увеличилась.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Статус: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 ответе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период действует или не задан,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— период истёк).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Интерфейс сам сравнивает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 </w:t>
      </w:r>
      <w:r>
        <w:t xml:space="preserve">с датой.</w:t>
      </w:r>
    </w:p>
    <w:p>
      <w:pPr>
        <w:numPr>
          <w:ilvl w:val="0"/>
          <w:numId w:val="1005"/>
        </w:numPr>
        <w:pStyle w:val="Compact"/>
      </w:pPr>
      <w:r>
        <w:t xml:space="preserve">Код при изменении удалённой или истёкшей записи: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422.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400.</w:t>
      </w:r>
    </w:p>
    <w:p>
      <w:pPr>
        <w:numPr>
          <w:ilvl w:val="0"/>
          <w:numId w:val="1005"/>
        </w:numPr>
        <w:pStyle w:val="Compact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204 без проверки версии и без новой истории; порядок проверок: 404, затем «уже удалена» → 204, затем версия → 409, затем активные заявки → 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409 по версии.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Статус — A; код — A (409, состояние записи не позволяет операцию); повтор — A (повтор безопасен).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</w:t>
      </w:r>
    </w:p>
    <w:p>
      <w:r>
        <w:pict>
          <v:rect style="width:0;height:1.5pt" o:hralign="center" o:hrstd="t" o:hr="t"/>
        </w:pict>
      </w:r>
    </w:p>
    <w:bookmarkEnd w:id="24"/>
    <w:bookmarkStart w:id="25" w:name="X3153f697d4be7cc6b83cafeacca53bf0bd3de66"/>
    <w:p>
      <w:pPr>
        <w:pStyle w:val="Heading2"/>
      </w:pPr>
      <w:r>
        <w:t xml:space="preserve">Вопрос 20. Контракт предварительного расчёта для кнопок формы (T01.3, T01.4)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 и T01.2: кнопки «Рассчитать маршрут» и «Расчёт по тарифу» показывают расчёт в форме, а при сохранении сервер считает значения сам. Контракт предварительного расчёта нигде не определён; в карточке TRANSPORT-45586 такого метода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вызывает форма для предварительного расчёта (без сохранения), кто его владелец и как вести себя, если значения при сохранении отличаются от показанных пользователю.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Новый метод сервиса маршрутов (без сохранения), принимающий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и возвращающий расстояние, время, ожидание и расчётную цену; внутри те же вызовы geo и тарифа (T01.4).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Форма вызывает geo и сервис тарифов напрямую через шлюз.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одна точка ответственности и единое правило выбора тарифа; при отличии значений сервер возвращает сохранённые, и форма показывает именно их.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При варианте A в объём T01.2 добавляется ручка, которой нет в карточке.</w:t>
      </w:r>
    </w:p>
    <w:p>
      <w:r>
        <w:pict>
          <v:rect style="width:0;height:1.5pt" o:hralign="center" o:hrstd="t" o:hr="t"/>
        </w:pict>
      </w:r>
    </w:p>
    <w:bookmarkEnd w:id="25"/>
    <w:bookmarkStart w:id="26" w:name="Xcc182a93be7f9f7e2a94cf13d7553c738047dd0"/>
    <w:p>
      <w:pPr>
        <w:pStyle w:val="Heading2"/>
      </w:pPr>
      <w:r>
        <w:t xml:space="preserve">Вопрос 21. Идемпотентность POST и защита от конкурентного дубля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T01.2: повтор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при потере ответа может создать второй маршрут; проверка бизнес-дубля идемпотентность не заменяет. Критерий дубля — вопрос 4 заказчику: записи с тем же ключом и пересекающимся периодом.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Нужна ли идемпотентность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и как защититься от одновременного создания дублей.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Без идемпотентного ключа; от конкурентного дубля защищает проверка в транзакции с блокировкой по организации либо уникальный индекс по хешу ключа сравнения.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, повтор возвращает ранее созданный маршрут.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создание маршрутов редкое (до 80 на старте); B — если появится импорт или массовое создание из интерфейса.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Связан с вопросом 24 (импорт) и вопросом 4 заказчику (критерий дубля).</w:t>
      </w:r>
    </w:p>
    <w:p>
      <w:r>
        <w:pict>
          <v:rect style="width:0;height:1.5pt" o:hralign="center" o:hrstd="t" o:hr="t"/>
        </w:pict>
      </w:r>
    </w:p>
    <w:bookmarkEnd w:id="26"/>
    <w:bookmarkStart w:id="27" w:name="X1abc6b40a6b23bc48f4b54e46fff7d586619bdf"/>
    <w:p>
      <w:pPr>
        <w:pStyle w:val="Heading2"/>
      </w:pPr>
      <w:r>
        <w:t xml:space="preserve">Вопрос 22. Активные заявки: контракт проверки и защита от гонки при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 и T01.2: при активной заявке удаление запрещено, завершённые поездки не препятствуют; состав активных статусов и защита от создания заявки во время деактивации не определены (T04.1). Недоступность проверки не означает отсутствие активных заявок.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Каким контрактом сервис маршрутов узнаёт об активных заявках (какие статусы активны, метод и владелец) и как исключить создание заявки по маршруту, пока он деактивируется.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заявок предоставляет метод «есть ли активные заявки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»; деактивация и создание заявки согласуются через версию маршрута (заявка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; деактивация меняет версию).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Сервис маршрутов хранит счётчик активных заявок, обновляемый событиями.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A; при недоступности проверки деактивация отклоняется (500/503), а не выполняется.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Перечень нетерминальных статусов известен (</w:t>
      </w:r>
      <w:r>
        <w:rPr>
          <w:rStyle w:val="VerbatimChar"/>
        </w:rPr>
        <w:t xml:space="preserve">TripRequestStatus</w:t>
      </w:r>
      <w:r>
        <w:t xml:space="preserve">), но API поиска заявок по признаку избранного маршрута нет — поля в заявке ещё нет (T04.1).</w:t>
      </w:r>
    </w:p>
    <w:p>
      <w:r>
        <w:pict>
          <v:rect style="width:0;height:1.5pt" o:hralign="center" o:hrstd="t" o:hr="t"/>
        </w:pict>
      </w:r>
    </w:p>
    <w:bookmarkEnd w:id="27"/>
    <w:bookmarkStart w:id="28" w:name="Xcb377ac185e1ef300ba9a9feb9ff0133dc2aeda"/>
    <w:p>
      <w:pPr>
        <w:pStyle w:val="Heading2"/>
      </w:pPr>
      <w:r>
        <w:t xml:space="preserve">Вопрос 23. Проверка тарифа при выдаче списка: число вызовов и кэш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D07: наличие действующего тарифа проверяется при выдаче списка тем же вызовом TariffService. Бесплатное ожидание берётся из тарифа и в маршруте не хранится.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Сколько вызовов сервиса тарифов допустимо на страницу списка и нужен ли кэш.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Один вызов на страницу списка без собственного кэша.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Кэш значений на уровне сервиса маршрутов.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данные зависят от тарифа, который меняется при загрузке прайса; кэш усложняет актуальность. Уточнить в T01.4.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</w:t>
      </w:r>
    </w:p>
    <w:p>
      <w:r>
        <w:pict>
          <v:rect style="width:0;height:1.5pt" o:hralign="center" o:hrstd="t" o:hr="t"/>
        </w:pict>
      </w:r>
    </w:p>
    <w:bookmarkEnd w:id="28"/>
    <w:bookmarkStart w:id="29" w:name="Xae12e2cee0aea6483b436993fc6b6323aa2e787"/>
    <w:p>
      <w:pPr>
        <w:pStyle w:val="Heading2"/>
      </w:pPr>
      <w:r>
        <w:t xml:space="preserve">Вопрос 24. Массовый импорт маршрутов: способ реализации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заказчика 10.09 и 17.09 (п. 11): импорт из Excel, до 80 маршрутов на старте; требования к ошибкам, дублям и разовости — вопрос 11 заказчику. Отчёт разработчика (срез 05.10): шаблон и загрузка Excel реализованы, сообщения об ошибках по строкам, отказ от частичной загрузки. В T01.2 метода импорта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Описать контракт импорта после ответа заказчика: метод, формат, синхронность и использование той же проверки и расчёта, что при создании.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Синхронный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с файлом (</w:t>
      </w:r>
      <w:r>
        <w:rPr>
          <w:rStyle w:val="VerbatimChar"/>
        </w:rPr>
        <w:t xml:space="preserve">multipart</w:t>
      </w:r>
      <w:r>
        <w:t xml:space="preserve">); каждая строка проходит те же проверки и расчёт, что при создании; при ошибке весь файл отклоняется и возвращается перечень ошибок по строкам.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Асинхронная задача с отчётом (для больших объёмов).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для объёма до 80 строк (до 26 точек в строке — время расчёта, вопрос 9); B — если объём вырастет. Нумерация — по счётчику (вопрос 6).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</w:t>
      </w:r>
      <w:r>
        <w:t xml:space="preserve"> </w:t>
      </w:r>
      <w:r>
        <w:rPr>
          <w:bCs/>
          <w:b/>
        </w:rPr>
        <w:t xml:space="preserve">Реализация опережает спецификацию:</w:t>
      </w:r>
      <w:r>
        <w:t xml:space="preserve"> </w:t>
      </w:r>
      <w:r>
        <w:t xml:space="preserve">импорт уже написан, контракта в T01.2 нет. Требуется либо описать его в T01.2, либо явно вынести в отдельную задачу.</w:t>
      </w:r>
    </w:p>
    <w:p>
      <w:r>
        <w:pict>
          <v:rect style="width:0;height:1.5pt" o:hralign="center" o:hrstd="t" o:hr="t"/>
        </w:pict>
      </w:r>
    </w:p>
    <w:bookmarkEnd w:id="29"/>
    <w:bookmarkStart w:id="30" w:name="X6eef653e68dc0eebc44a6eccdbf5b9ed4287a9d"/>
    <w:p>
      <w:pPr>
        <w:pStyle w:val="Heading2"/>
      </w:pPr>
      <w:r>
        <w:t xml:space="preserve">Вопрос 25. Имя поля человекочитаемого номера в API, БД и на фронте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17.09, п. 1 дословно: «Наименование решили менять favoriteRoute». Слова «Number» в протоколе нет, полного имени поля протокол не называет; в записи обсуждались префиксы и риск путаницы с полями других сервисов. В T01.1 колонка названа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 В ранней редакции T01.2 использовалось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. В платформе поле того же назначения и формата называется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. Вопрос 6 текущего списка ссылается на «решение 17.09 об имени поля» как на закрытое.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одно имя, одинаково применённое в DDL, в API, в OpenAPI и на фронте. Сейчас в документах проекта встречаются три варианта, и ссылка на протокол корректна ни для одного из них.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 </w:t>
      </w:r>
      <w:r>
        <w:t xml:space="preserve">в API,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в БД — совпадает с T01.1, читается однозначно.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rPr>
          <w:rStyle w:val="VerbatimChar"/>
        </w:rPr>
        <w:t xml:space="preserve">favoriteRoute</w:t>
      </w:r>
      <w:r>
        <w:t xml:space="preserve"> </w:t>
      </w:r>
      <w:r>
        <w:t xml:space="preserve">в API — буквальная формулировка протокола; минус: поле с таким именем внутри сущности FavoriteRoute читается как ссылка на сущность, а не как её номер.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 </w:t>
      </w:r>
      <w:r>
        <w:t xml:space="preserve">— платформенное имя для поля того же назначения; минус: расходится с БТ и карточкой.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Решение зафиксировать письменно и снять из вопроса 6 ссылку на протокол 17.09 как на решение об имени.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Блокирует OpenAPI и DDL.</w:t>
      </w:r>
    </w:p>
    <w:p>
      <w:r>
        <w:pict>
          <v:rect style="width:0;height:1.5pt" o:hralign="center" o:hrstd="t" o:hr="t"/>
        </w:pict>
      </w:r>
    </w:p>
    <w:bookmarkEnd w:id="30"/>
    <w:bookmarkStart w:id="31" w:name="X7482659e3efabd9a74bc05fcab63d1ef5f9231b"/>
    <w:p>
      <w:pPr>
        <w:pStyle w:val="Heading2"/>
      </w:pPr>
      <w:r>
        <w:t xml:space="preserve">Вопрос 26. Единицы и типы расчётных полей: расхождение между БД и API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Вопрос 2 текущего списка (D06):</w:t>
      </w:r>
      <w:r>
        <w:t xml:space="preserve"> </w:t>
      </w:r>
      <w:r>
        <w:rPr>
          <w:rStyle w:val="VerbatimChar"/>
        </w:rPr>
        <w:t xml:space="preserve">total_km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numeric(7,3)</w:t>
      </w:r>
      <w:r>
        <w:t xml:space="preserve"> </w:t>
      </w:r>
      <w:r>
        <w:t xml:space="preserve">с округлением half-up до 0,001 км;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с округлением half-up один раз после суммирования; деньги —</w:t>
      </w:r>
      <w:r>
        <w:t xml:space="preserve"> </w:t>
      </w:r>
      <w:r>
        <w:rPr>
          <w:rStyle w:val="VerbatimChar"/>
        </w:rPr>
        <w:t xml:space="preserve">int4</w:t>
      </w:r>
      <w:r>
        <w:t xml:space="preserve"> </w:t>
      </w:r>
      <w:r>
        <w:t xml:space="preserve">в копейках. Вопрос 2 (D02):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int64</w:t>
      </w:r>
      <w:r>
        <w:t xml:space="preserve">,</w:t>
      </w:r>
      <w:r>
        <w:t xml:space="preserve"> </w:t>
      </w:r>
      <w:r>
        <w:rPr>
          <w:bCs/>
          <w:b/>
        </w:rPr>
        <w:t xml:space="preserve">миллисекунды</w:t>
      </w:r>
      <w:r>
        <w:t xml:space="preserve">, точка без ожидания — ключ опускается.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DurationMillisConverter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MillisDurationConverter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core-main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↔ миллисекунды,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сериализуется как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сообщении перевозчику ожидание уходит в</w:t>
      </w:r>
      <w:r>
        <w:t xml:space="preserve"> </w:t>
      </w:r>
      <w:r>
        <w:rPr>
          <w:bCs/>
          <w:b/>
        </w:rPr>
        <w:t xml:space="preserve">секундах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toSeconds()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OutContractorTaxiTripMessageMapperImpl.java:316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одном объекте ответа время оказывается в двух единицах: ожидание точки — миллисекунды целым числом, время в пути и полное время — десятичные (по типу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— видимо, минуты). Нужно решить, что именно возвращает API, где выполняется конвертация и как складывать ожидание со временем в пути без потери точности.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API отдаёт время в пути и полное время в минутах (</w:t>
      </w:r>
      <w:r>
        <w:rPr>
          <w:rStyle w:val="VerbatimChar"/>
        </w:rPr>
        <w:t xml:space="preserve">numeric(6,1)</w:t>
      </w:r>
      <w:r>
        <w:t xml:space="preserve">, как в БД), ожидание точки — в миллисекундах (как в заявке). Конвертация при суммировании — на сервере, округление half-up один раз после суммирования.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Единая единица для всех временных полей ответа — миллисекунды;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в БД остаётся внутренним представлением.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Единая единица — минуты; ожидание точки тоже в минутах, конвертация в миллисекунды — только на границе с заявкой и расчётом.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— минимум расхождений с T01.1 и с</w:t>
      </w:r>
      <w:r>
        <w:t xml:space="preserve"> </w:t>
      </w:r>
      <w:r>
        <w:rPr>
          <w:rStyle w:val="VerbatimChar"/>
        </w:rPr>
        <w:t xml:space="preserve">WaypointDTO</w:t>
      </w:r>
      <w:r>
        <w:t xml:space="preserve"> </w:t>
      </w:r>
      <w:r>
        <w:t xml:space="preserve">заявки. Независимо от варианта: зафиксировать в OpenAPI единицу каждого поля прямо в описании и указать три границы конвертации (расчёт тарифа — миллисекунды, сообщение перевозчику — секунды, БД —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 деньги:</w:t>
      </w:r>
      <w:r>
        <w:t xml:space="preserve"> </w:t>
      </w:r>
      <w:r>
        <w:rPr>
          <w:rStyle w:val="VerbatimChar"/>
        </w:rPr>
        <w:t xml:space="preserve">int4</w:t>
      </w:r>
      <w:r>
        <w:t xml:space="preserve"> </w:t>
      </w:r>
      <w:r>
        <w:t xml:space="preserve">в копейках (D06) против</w:t>
      </w:r>
      <w:r>
        <w:t xml:space="preserve"> </w:t>
      </w:r>
      <w:r>
        <w:rPr>
          <w:rStyle w:val="VerbatimChar"/>
        </w:rPr>
        <w:t xml:space="preserve">numeric(10,2)</w:t>
      </w:r>
      <w:r>
        <w:t xml:space="preserve"> </w:t>
      </w:r>
      <w:r>
        <w:t xml:space="preserve">в ранней редакции T01.1. При</w:t>
      </w:r>
      <w:r>
        <w:t xml:space="preserve"> </w:t>
      </w:r>
      <w:r>
        <w:rPr>
          <w:rStyle w:val="VerbatimChar"/>
        </w:rPr>
        <w:t xml:space="preserve">int4</w:t>
      </w:r>
      <w:r>
        <w:t xml:space="preserve"> </w:t>
      </w:r>
      <w:r>
        <w:t xml:space="preserve">предел — 21 474 836,47 ₽ на маршрут; для прайсовой поездки этого достаточно, но границу стоит записать явно.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Блокирует OpenAPI и DDL.</w:t>
      </w:r>
    </w:p>
    <w:p>
      <w:r>
        <w:pict>
          <v:rect style="width:0;height:1.5pt" o:hralign="center" o:hrstd="t" o:hr="t"/>
        </w:pict>
      </w:r>
    </w:p>
    <w:bookmarkEnd w:id="31"/>
    <w:bookmarkStart w:id="32" w:name="X9d5501067e0b32d211d1b695ed553778cc38e16"/>
    <w:p>
      <w:pPr>
        <w:pStyle w:val="Heading2"/>
      </w:pPr>
      <w:r>
        <w:t xml:space="preserve">Вопрос 27. Бесплатное время ожидания: есть ли поле в справочнике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БТ, раздел 10:</w:t>
      </w:r>
      <w:r>
        <w:t xml:space="preserve"> </w:t>
      </w:r>
      <w:r>
        <w:rPr>
          <w:rStyle w:val="VerbatimChar"/>
        </w:rPr>
        <w:t xml:space="preserve">free_wait_time</w:t>
      </w:r>
      <w:r>
        <w:t xml:space="preserve"> </w:t>
      </w:r>
      <w:r>
        <w:t xml:space="preserve">(int, минуты) — поле новой сущности; то же поле в ранней редакции T01.1. Вопрос 23 текущего списка: «бесплатное ожидание берётся из тарифа и в маршруте не хранится». Комментарий к вопросам архитектору: «free wait time в справочниках отсутствует».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Источник значения — поле тарифа</w:t>
      </w:r>
      <w:r>
        <w:t xml:space="preserve"> </w:t>
      </w:r>
      <w:r>
        <w:rPr>
          <w:rStyle w:val="VerbatimChar"/>
        </w:rPr>
        <w:t xml:space="preserve">freeWaitingTime</w:t>
      </w:r>
      <w:r>
        <w:t xml:space="preserve"> </w:t>
      </w:r>
      <w:r>
        <w:t xml:space="preserve">(минуты, int) у</w:t>
      </w:r>
      <w:r>
        <w:t xml:space="preserve"> </w:t>
      </w:r>
      <w:r>
        <w:rPr>
          <w:rStyle w:val="VerbatimChar"/>
        </w:rPr>
        <w:t xml:space="preserve">TaxiTariff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GroupTransferTariff</w:t>
      </w:r>
      <w:r>
        <w:t xml:space="preserve">, читается при каждом расчёте, снимка нет. Вопросы заказчику: показ бесплатного лимита в виджетах снят, предлагается показывать плановое ожидание.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Подтвердить, что поля бесплатного ожидания в справочнике нет: ни колонки в БД, ни поля в ответе API, ни значения в карточке. Если оно всё-таки нужно — определить, снимок это или чтение актуального тарифа, и в какой единице поле отдаётся (минуты тарифа против миллисекунд ожидания точки).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Поля нет. Бесплатный лимит участвует только в расчёте рекомендуемой стоимости внутри сервиса тарифов и наружу не отдаётся. БТ (раздел 10) требует правки.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Поле есть как снимок на момент расчёта — тогда нужно правило обновления при смене тарифа.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Поля нет в БД, но значение отдаётся в ответе транзитом из тарифа — тогда нужна единица и поведение при недоступности тарифа.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на цену по прайсу лимит не влияет, а снимок устаревает при каждой загрузке прайса. Решение отразить в БТ и снять поле из таблицы полей T01.1, если оно там ещё есть.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Расхождение между БТ и текущими документами; влияет на состав ответа API.</w:t>
      </w:r>
    </w:p>
    <w:p>
      <w:r>
        <w:pict>
          <v:rect style="width:0;height:1.5pt" o:hralign="center" o:hrstd="t" o:hr="t"/>
        </w:pict>
      </w:r>
    </w:p>
    <w:bookmarkEnd w:id="32"/>
    <w:bookmarkStart w:id="33" w:name="Xae8a4eb86dd226325d00675901bc4a512e16cd8"/>
    <w:p>
      <w:pPr>
        <w:pStyle w:val="Heading2"/>
      </w:pPr>
      <w:r>
        <w:t xml:space="preserve">Вопрос 28. Ошибки geo и тарифа при сохранении: коды наружу, таймауты, повторы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Сервис geo отвечает</w:t>
      </w:r>
      <w:r>
        <w:t xml:space="preserve"> </w:t>
      </w:r>
      <w:r>
        <w:rPr>
          <w:bCs/>
          <w:b/>
        </w:rPr>
        <w:t xml:space="preserve">417</w:t>
      </w:r>
      <w:r>
        <w:t xml:space="preserve"> </w:t>
      </w:r>
      <w:r>
        <w:t xml:space="preserve">на любую ошибку провайдера, включая «адрес не найден» (</w:t>
      </w:r>
      <w:r>
        <w:rPr>
          <w:rStyle w:val="VerbatimChar"/>
        </w:rPr>
        <w:t xml:space="preserve">ControllerExceptionHandler.java:20-50</w:t>
      </w:r>
      <w:r>
        <w:t xml:space="preserve">). Вопрос 9 текущего списка: маршрут из 26 точек — до 25 последовательных запросов к 2ГИС, фактическое время не замерено. Вопрос 10: сервер пересчитывает при каждом сохранении.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Таймауты и политика повторов в вызовах тарифа не найдены.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код и тело возвращает справочник наружу, когда geo или сервис тарифов ответили ошибкой или не ответили; каковы таймаут на сохранение и политика повторов; что остаётся в БД при сбое на середине расчёта.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502 на ошибку зависимости, 504 на таймаут, 400 с указанием точки — только если geo однозначно сообщил «адрес не найден»; повторов нет, транзакция не начинается до получения расчёта.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Транслировать код зависимости как есть (включая 417) — минус: 417 в контракте справочника читается неоднозначно.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503 на любую недоступность зависимости, один повтор с увеличенным таймаутом.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с оговоркой: пока geo не различает «не найдено» и «провайдер недоступен», 417 трактуется как недоступность. Таймаут на сохранение определить по замеру из вопроса 9.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Открыт. Зависит от замера времени расчёта (вопрос 9).</w:t>
      </w:r>
    </w:p>
    <w:p>
      <w:r>
        <w:pict>
          <v:rect style="width:0;height:1.5pt" o:hralign="center" o:hrstd="t" o:hr="t"/>
        </w:pict>
      </w:r>
    </w:p>
    <w:bookmarkEnd w:id="33"/>
    <w:bookmarkStart w:id="34" w:name="X6d50cb4d72ed16709e2555c1fe53eff74b8c7f9"/>
    <w:p>
      <w:pPr>
        <w:pStyle w:val="Heading2"/>
      </w:pPr>
      <w:r>
        <w:t xml:space="preserve">Приложение. Принято и на повторное согласование не ставится</w:t>
      </w:r>
    </w:p>
    <w:p>
      <w:pPr>
        <w:pStyle w:val="FirstParagraph"/>
      </w:pPr>
      <w:r>
        <w:t xml:space="preserve">Относится к T01.2; источник указан в каждой строке.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Прежний предел 10 был связан с навигатором 2ГИС и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(10:24–12:04); вопрос 2 текущего списка (D10)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миллисекунды; точка без ожидания — ключ опускается; в расчёт передаётся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(D02), вопрос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Необязательное поле; хранится в справочнике и виджете, в заявку и перевозчику не передаётся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(09:40–10:11); вопрос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Хранится по значению, без id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изменений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запись в одной транзакции с изменением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(D04); БТ, раздел 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Long</w:t>
            </w:r>
            <w:r>
              <w:t xml:space="preserve">),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; приходит от клиента при изменении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(D11), вопрос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меняется, фонового перевода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 — круглогодичные маршруты допускаются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Удалённая и истёкшая запись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для чтения; восстановления вручную удалённой записи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сохранением, кто и когда правил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выделяется: доступ у авторизованных пользователей с правами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(расстояние и время) + REST</w:t>
            </w:r>
            <w:r>
              <w:t xml:space="preserve"> </w:t>
            </w:r>
            <w:r>
              <w:rPr>
                <w:rStyle w:val="VerbatimChar"/>
              </w:rPr>
              <w:t xml:space="preserve">POST /calculate/{transportTypeUUID}/{tariffId}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 (не принимает класс услуги и ожидание в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вопрос 2 (D12)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 по тарифу; цену маршрута задаёт прайс. Пользователю при оформлении не показывается (на подтверждении — вопрос 2 заказчику)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— снимок клиентского тарифа для реестров;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 (D12)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в истории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в БД и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нужно, достаточно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;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переименовано в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95d941a3aa517f7e24c6fe1ba6dfa238c7c8a71"/>
    <w:p>
      <w:pPr>
        <w:pStyle w:val="Heading2"/>
      </w:pPr>
      <w:r>
        <w:t xml:space="preserve">Приложение 2. Вопросы части 1, от которых зависит T01.2</w:t>
      </w:r>
    </w:p>
    <w:p>
      <w:pPr>
        <w:pStyle w:val="FirstParagraph"/>
      </w:pPr>
      <w:r>
        <w:t xml:space="preserve">Эти вопросы относятся к T01.1 и T01.4 и здесь не дублируются, но без них контракт T01.2 не закрывается.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T01.2 зависит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Архитектурная граница: отдельный сервис или существующие сервисы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Пути шлюза (вопрос 15), схема БД, ответственность за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Версионирование тарифа и доступность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и фильтрация списка (вопросы 19, 23), проверка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как рассчитывать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запросе и ответе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при конфликте номера (вопрос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найти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от какого сотрудника считать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 (вопрос 20), состав ошибок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для расчёта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Воспроизводимость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в ответе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из 26 точек: время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сохранения (вопрос 28), предел размера страницы (вопрос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(вопрос 18),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в запросе и ответе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2026-10-08T07:37:57Z</dcterms:created>
  <dcterms:modified xsi:type="dcterms:W3CDTF">2026-10-08T07:37:57Z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