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1.5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1.5 от 12.10.2026 (разбор замечаний к редакции 1.4). Из D12 убрано устаревшее правило «любой 417 - сбой зависимости и 502»: оно противоречило правилу по вызовам, принятому в той же редакции. Правило расчёта на текущую дату приведено к подтверждённой области: заказчик подтвердил его для класса TRANSFER_CAR_CHOICE, распространение на остальные классы группового трансфера - проектное решение (раздел 4, D15). В колонке обязательности срока действия отражено, что поле не редактируется. Уточнены источники решений от 12.10: ответы заказчика и ответы разработчика, замещавшего архитектора, - разные входы. В разделе 6 отмечено, что условие по привязке к автомобилю у остальных классов выполняется всегда. В абзаце о воспроизводимости добавлена прямая связка с отказом от хранения зоны. В D14 указан контекст подтверждения об удалённых и истёкших маршрутах. Предыдущая редакция 1.4 от 12.10.2026: удаление поля территории тарифа, запрет редактирования срока действия, период вне проверки дубля.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 (критерий приёмки БТ §12).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Нет; не редактируется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вызов. [КОД] Резолвер территории подставляет пустую строку сам только для street и house.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C00000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'Начало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'Окончание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C00000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