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T01.2: решения по умолчанию из вопросов архитектору (редакция 3)</w:t>
      </w:r>
    </w:p>
    <w:p>
      <w:r>
        <w:t>Версия от 09.10.2026, редакция 3 (в редакции 2 добавлены ошибки geo, даты тарифа, цена TRANSFER_CAR_CHOICE, номер тарифа; в редакции 3 коды ошибки проверки активных заявок - 502 и 504). Документ T01.2 не менялся: это перечень предложений для вашей версии. Вопросы к архитектору сокращены до трёх (v18); остальные решаются по умолчанию и попадают в T01.2 с пометкой [СОГЛАСОВАТЬ С АРХИТЕКТОРОМ], архитектор рассмотрит их при согласовании документа. «Было вопрос N» - номер в списке v17.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381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Что предложить в T01.2</w:t>
            </w:r>
          </w:p>
        </w:tc>
        <w:tc>
          <w:tcPr>
            <w:tcW w:type="dxa" w:w="4989"/>
          </w:tcPr>
          <w:p>
            <w:r/>
            <w:r>
              <w:rPr>
                <w:b/>
              </w:rPr>
              <w:t>Основание</w:t>
            </w:r>
          </w:p>
        </w:tc>
      </w:tr>
      <w:tr>
        <w:tc>
          <w:tcPr>
            <w:tcW w:type="dxa" w:w="2381"/>
          </w:tcPr>
          <w:p>
            <w:r>
              <w:t>Права доступа (было вопрос 7)</w:t>
            </w:r>
          </w:p>
        </w:tc>
        <w:tc>
          <w:tcPr>
            <w:tcW w:type="dxa" w:w="7370"/>
          </w:tcPr>
          <w:p>
            <w:r>
              <w:t>Доступ у любого авторизованного пользователя корпоративного кабинета (решение заказчика 08.10). Отдельная роль «Управляющий справочниками» не вводится (протокол 10.09, п. 10). Пары «HTTP-метод + шаблон URL → роль» регистрируются в БД нового сервиса для ролей корпоративного клиента; перечень ролей фиксируется при настройке стенда (T01.4). Организация автора определяется по токену и сотруднику; запись чужой организации - 404 (запись не раскрывается). Без прав - 403.</w:t>
            </w:r>
          </w:p>
        </w:tc>
        <w:tc>
          <w:tcPr>
            <w:tcW w:type="dxa" w:w="4989"/>
          </w:tcPr>
          <w:p>
            <w:r>
              <w:t>[КОД] role_check_starter: пары хранятся в БД сервиса, в исходниках не заданы; в платформе встречаются роли ROLE_ADMIN/ENGINEER/EMPLOYEE/DISPATCHER/CHIEF_CORP_CLIENT. Доп. (10) «Находок»: в схеме CRM те же таблицы urls и roles.</w:t>
            </w:r>
          </w:p>
        </w:tc>
      </w:tr>
      <w:tr>
        <w:tc>
          <w:tcPr>
            <w:tcW w:type="dxa" w:w="2381"/>
          </w:tcPr>
          <w:p>
            <w:r>
              <w:t>Методы изменения и деактивации (было вопрос 8)</w:t>
            </w:r>
          </w:p>
        </w:tc>
        <w:tc>
          <w:tcPr>
            <w:tcW w:type="dxa" w:w="7370"/>
          </w:tcPr>
          <w:p>
            <w:r>
              <w:t>Изменение - PUT (полная замена, version в теле). Деактивация - DELETE с параметром ?version=n (физического удаления нет). Карточку TRANSPORT-45586 дополнить методом PUT.</w:t>
            </w:r>
          </w:p>
        </w:tc>
        <w:tc>
          <w:tcPr>
            <w:tcW w:type="dxa" w:w="4989"/>
          </w:tcPr>
          <w:p>
            <w:r>
              <w:t>PUT: форма сохраняет маршрут целиком, пересчёт зависит от всего набора точек. В проверенных сервисах образца оптимистичной блокировки нет (@Version, ETag не найдены), поэтому версию передаём явно.</w:t>
            </w:r>
          </w:p>
        </w:tc>
      </w:tr>
      <w:tr>
        <w:tc>
          <w:tcPr>
            <w:tcW w:type="dxa" w:w="2381"/>
          </w:tcPr>
          <w:p>
            <w:r>
              <w:t>Семантика PUT (было вопрос 9)</w:t>
            </w:r>
          </w:p>
        </w:tc>
        <w:tc>
          <w:tcPr>
            <w:tcW w:type="dxa" w:w="7370"/>
          </w:tcPr>
          <w:p>
            <w:r>
              <w:t>1) Пропущенное необязательное поле очищает значение (isNightTariff - false). 2) Серверные поля во входном запросе игнорируются: recommendedCost, расстояние и время, номер, авторы, даты, isActive; organizationId при несовпадении с токеном - 403. 3) Исключение: tariffId НЕ игнорируется - это тариф, выбранный пользователем (D07); сервер проверяет, что он входит в список подходящих тарифов, и пересчитывает цену. 4) Сохранение без изменений: запись не меняется, version и updatedAt прежние.</w:t>
            </w:r>
          </w:p>
        </w:tc>
        <w:tc>
          <w:tcPr>
            <w:tcW w:type="dxa" w:w="4989"/>
          </w:tcPr>
          <w:p>
            <w:r>
              <w:t>Пункт 3 появился после решения 08.10 о ручном выборе тарифа (раньше tariffId считался серверным полем). Пункт 4: [КОД] Hibernate увеличивает version только при изменении сущности.</w:t>
            </w:r>
          </w:p>
        </w:tc>
      </w:tr>
      <w:tr>
        <w:tc>
          <w:tcPr>
            <w:tcW w:type="dxa" w:w="2381"/>
          </w:tcPr>
          <w:p>
            <w:r>
              <w:t>Состояния записи и повторный DELETE (было вопрос 10)</w:t>
            </w:r>
          </w:p>
        </w:tc>
        <w:tc>
          <w:tcPr>
            <w:tcW w:type="dxa" w:w="7370"/>
          </w:tcPr>
          <w:p>
            <w:r>
              <w:t>В ответе вычисляемое поле status: ACTIVE (период действует или не задан), EXPIRED (период истёк); is_active при истечении не меняется. Изменение удалённой или истёкшей записи - 409. Повторный DELETE - 204 без проверки версии и без новой записи в историю. Порядок проверок DELETE: 404; «уже удалена» → 204; версия → 409; активные заявки → 409.</w:t>
            </w:r>
          </w:p>
        </w:tc>
        <w:tc>
          <w:tcPr>
            <w:tcW w:type="dxa" w:w="4989"/>
          </w:tcPr>
          <w:p>
            <w:r>
              <w:t>T01.1, D14 (истечение определяется по valid_to при чтении) и раздел 6 (при активной заявке удаление запрещено). Проверка активных заявок - вопрос 1 v18.</w:t>
            </w:r>
          </w:p>
        </w:tc>
      </w:tr>
      <w:tr>
        <w:tc>
          <w:tcPr>
            <w:tcW w:type="dxa" w:w="2381"/>
          </w:tcPr>
          <w:p>
            <w:r>
              <w:t>Предрасчёт и список тарифов для формы (было вопрос 11)</w:t>
            </w:r>
          </w:p>
        </w:tc>
        <w:tc>
          <w:tcPr>
            <w:tcW w:type="dxa" w:w="7370"/>
          </w:tcPr>
          <w:p>
            <w:r>
              <w:t>Два новых метода сервиса маршрутов без сохранения. (а) Список тарифов для выбора: вход - точки (по первой точке определяется регион), вид транспорта, ночной признак, дата; выход - тарифы с классом, контрагентом, договором и ценой. (б) Предрасчёт: вход - точки с ожиданием, тариф, ночной признак; выход - расстояние, время, ожидание и расчётная цена. Форма не вызывает geo и сервис тарифов напрямую. Если при сохранении значения отличаются от показанных, возвращаются сохранённые.</w:t>
            </w:r>
          </w:p>
        </w:tc>
        <w:tc>
          <w:tcPr>
            <w:tcW w:type="dxa" w:w="4989"/>
          </w:tcPr>
          <w:p>
            <w:r>
              <w:t>Метод (а) нужен из-за решения 08.10 о ручном выборе тарифа; схема получения списка - T01.1, D07 (цепочка зон, POST search, GET тарифа, расчёт по tariffId). Число вызовов - около 15–20 на открытие списка, замер в T01.4.</w:t>
            </w:r>
          </w:p>
        </w:tc>
      </w:tr>
      <w:tr>
        <w:tc>
          <w:tcPr>
            <w:tcW w:type="dxa" w:w="2381"/>
          </w:tcPr>
          <w:p>
            <w:r>
              <w:t>Идемпотентность POST (было вопрос 12)</w:t>
            </w:r>
          </w:p>
        </w:tc>
        <w:tc>
          <w:tcPr>
            <w:tcW w:type="dxa" w:w="7370"/>
          </w:tcPr>
          <w:p>
            <w:r>
              <w:t>Идемпотентного ключа (Idempotency-Key) нет. Защита от конкурентного дубля - проверка в транзакции с блокировкой по организации либо уникальный индекс по хешу ключа сравнения. Критерий дубля подтверждён заказчиком 08.10 (точки маршрута, ночной или дневной тариф, вид транспорта, класс, пересекающийся период); при дубле отказ с номером существующего маршрута (предлагаемый код - 409, тело ответа определяется в T01.2).</w:t>
            </w:r>
          </w:p>
        </w:tc>
        <w:tc>
          <w:tcPr>
            <w:tcW w:type="dxa" w:w="4989"/>
          </w:tcPr>
          <w:p>
            <w:r>
              <w:t>[КОД] в проверенных сервисах (заявки, тарифы, корпоративный, шлюз) механизма идемпотентности нет. Создание редкое (80 маршрутов на старте).</w:t>
            </w:r>
          </w:p>
        </w:tc>
      </w:tr>
      <w:tr>
        <w:tc>
          <w:tcPr>
            <w:tcW w:type="dxa" w:w="2381"/>
          </w:tcPr>
          <w:p>
            <w:r>
              <w:t>Массовый импорт (было вопрос 15)</w:t>
            </w:r>
          </w:p>
        </w:tc>
        <w:tc>
          <w:tcPr>
            <w:tcW w:type="dxa" w:w="7370"/>
          </w:tcPr>
          <w:p>
            <w:r>
              <w:t>Синхронный POST с файлом (multipart); каждая строка проходит те же проверки и расчёт, что при создании; при любой ошибке файл отклоняется целиком и возвращается перечень ошибок по строкам (решение заказчика 08.10). Нумерация - штатной библиотекой, строки обрабатываются последовательно. Асинхронная задача с отчётом - если по замеру в T01.4 время обработки 80 строк (до 26 точек в строке) окажется неприемлемым.</w:t>
            </w:r>
          </w:p>
        </w:tc>
        <w:tc>
          <w:tcPr>
            <w:tcW w:type="dxa" w:w="4989"/>
          </w:tcPr>
          <w:p>
            <w:r>
              <w:t>Образец формата ошибок и журнала загрузок - загрузчик CRM 2.0 (дополнение (10) «Находок»): проверка без загрузки, ошибки по ячейкам, журнал. Только как справка.</w:t>
            </w:r>
          </w:p>
        </w:tc>
      </w:tr>
      <w:tr>
        <w:tc>
          <w:tcPr>
            <w:tcW w:type="dxa" w:w="2381"/>
          </w:tcPr>
          <w:p>
            <w:r>
              <w:t>Число вызовов тарифов и кэш (было вопрос 14)</w:t>
            </w:r>
          </w:p>
        </w:tc>
        <w:tc>
          <w:tcPr>
            <w:tcW w:type="dxa" w:w="7370"/>
          </w:tcPr>
          <w:p>
            <w:r>
              <w:t>Без собственного кэша. Решение возвращается к архитектору только если замер времени ответа в T01.4 окажется неприемлемым (варианты: кэш или локальная копия тарифов по сообщениям брокера).</w:t>
            </w:r>
          </w:p>
        </w:tc>
        <w:tc>
          <w:tcPr>
            <w:tcW w:type="dxa" w:w="4989"/>
          </w:tcPr>
          <w:p>
            <w:r>
              <w:t>Масштаб на стенде: 17 активных тарифов у организации; для Москвы 6 тарифов такси и 1 трансфер.</w:t>
            </w:r>
          </w:p>
        </w:tc>
      </w:tr>
      <w:tr>
        <w:tc>
          <w:tcPr>
            <w:tcW w:type="dxa" w:w="2381"/>
          </w:tcPr>
          <w:p>
            <w:r>
              <w:t>Ошибки geo и тарифа при сохранении (было вопрос 23 списка по T01.2)</w:t>
            </w:r>
          </w:p>
        </w:tc>
        <w:tc>
          <w:tcPr>
            <w:tcW w:type="dxa" w:w="7370"/>
          </w:tcPr>
          <w:p>
            <w:r>
              <w:t>Все коды 417 от geo отдаются как 422 с текстом провайдера: geo не различает «адрес не найден» и сбой провайдера, поэтому пользователю - «уточните точки» (точку по номеру не указываем). Недоступность и таймаут geo или сервиса тарифов - 502 и 504. 417 пишется в лог уровнем WARN для мониторинга; целевое - просьба владельцу geo возвращать разные коды. Строки 422 - в таблицах ошибок создания, изменения и предрасчёта.</w:t>
            </w:r>
          </w:p>
        </w:tc>
        <w:tc>
          <w:tcPr>
            <w:tcW w:type="dxa" w:w="4989"/>
          </w:tcPr>
          <w:p>
            <w:r>
              <w:t>[КОД] geo-main, ControllerExceptionHandler (код 404 только в логе); T01.1, D12</w:t>
            </w:r>
          </w:p>
        </w:tc>
      </w:tr>
      <w:tr>
        <w:tc>
          <w:tcPr>
            <w:tcW w:type="dxa" w:w="2381"/>
          </w:tcPr>
          <w:p>
            <w:r>
              <w:t>Даты тарифа и цена TRANSFER_CAR_CHOICE (было вопрос 26 списка по T01.2)</w:t>
            </w:r>
          </w:p>
        </w:tc>
        <w:tc>
          <w:tcPr>
            <w:tcW w:type="dxa" w:w="7370"/>
          </w:tcPr>
          <w:p>
            <w:r>
              <w:t>Для такси проверяется «тариф и договор действуют сейчас» (флаги); срок договора не проверяется. Для обычного группового трансфера даты тарифа проверяет сам сервис маршрутов (штатный расчёт их не фильтрует); для TRANSFER_CAR_CHOICE расчёт сам фильтрует по дате поездки включительно. Цена класса: tariff_id и recommendedCost обязательны, берутся по автомобилю с минимальной ценой среди доступных на дату создания; если доступных нет, маршрут не сохраняется (ошибка расчёта).</w:t>
            </w:r>
          </w:p>
        </w:tc>
        <w:tc>
          <w:tcPr>
            <w:tcW w:type="dxa" w:w="4989"/>
          </w:tcPr>
          <w:p>
            <w:r>
              <w:t>T01.1, D14, D15; [КОД] CalculateServiceImpl.java:124-196, GroupTransferTariffRepository.findAllTariff</w:t>
            </w:r>
          </w:p>
        </w:tc>
      </w:tr>
      <w:tr>
        <w:tc>
          <w:tcPr>
            <w:tcW w:type="dxa" w:w="2381"/>
          </w:tcPr>
          <w:p>
            <w:r>
              <w:t>Номер тарифа в ответе (вопрос 28 списка по T01.2)</w:t>
            </w:r>
          </w:p>
        </w:tc>
        <w:tc>
          <w:tcPr>
            <w:tcW w:type="dxa" w:w="7370"/>
          </w:tcPr>
          <w:p>
            <w:r>
              <w:t>В записи и в ответах два поля: tariffId (UUID) и tariffNumber (человекочитаемый номер, например TF-0013-00000048), оба обязательны. tariffNumber заполняет сервер из тарифа, с клиента он не принимается.</w:t>
            </w:r>
          </w:p>
        </w:tc>
        <w:tc>
          <w:tcPr>
            <w:tcW w:type="dxa" w:w="4989"/>
          </w:tcPr>
          <w:p>
            <w:r>
              <w:t>T01.1, поле tariff_number (правки19); встреча 08.10, 18:43</w:t>
            </w:r>
          </w:p>
        </w:tc>
      </w:tr>
      <w:tr>
        <w:tc>
          <w:tcPr>
            <w:tcW w:type="dxa" w:w="2381"/>
          </w:tcPr>
          <w:p>
            <w:r>
              <w:t>Ожидается ответ архитектора (v18)</w:t>
            </w:r>
          </w:p>
        </w:tc>
        <w:tc>
          <w:tcPr>
            <w:tcW w:type="dxa" w:w="7370"/>
          </w:tcPr>
          <w:p>
            <w:r>
              <w:t>В T01.2 нужно предусмотреть два контракта: метод сервиса маршрутов «доступен ли маршрут на дату» (его вызывает сервис заявок при создании заявки) и вызов проверки «есть ли активные заявки по favorite_route_id» при DELETE (если проверку активных заявок выполнить не удалось, деактивация не выполняется: сервис заявок ответил ошибкой - 502, не ответил вовремя - 504 (коды в теле DEPENDENCY_ERROR и DEPENDENCY_TIMEOUT, как для geo и тарифов); 500 - только внутренняя ошибка сервиса маршрутов, 503 - только когда сам сервис не готов (например, данные организации ещё не получены)). Контур API: внешний путь /api/favorite-routes, внутренний /favorite-routes, ошибки в формате ExceptionBody, страница Spring Page (content, pageable, totalElements, totalPages, нумерация с нуля).</w:t>
            </w:r>
          </w:p>
        </w:tc>
        <w:tc>
          <w:tcPr>
            <w:tcW w:type="dxa" w:w="4989"/>
          </w:tcPr>
          <w:p>
            <w:r>
              <w:t>Вопросы 1 и 3 в списке v20 (нумерация та же, что в v18). Формат страницы подтверждён на стенде (дополнение (9).7).</w:t>
            </w:r>
          </w:p>
        </w:tc>
      </w:tr>
    </w:tbl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