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Ответ на отчёт о расхождениях T01.1 и T01.2 от 12.10.2026</w:t>
      </w:r>
    </w:p>
    <w:p>
      <w:r>
        <w:t>Владелец T01.1 • 12.10.2026 • Позиция по пунктам M01–M12 и A01–A20</w:t>
      </w:r>
    </w:p>
    <w:p>
      <w:r>
        <w:t>Рассмотрены два документа: отчёт о расхождениях от 12.10.2026 и спецификация T01.2 «API справочника избранных маршрутов» v1.3 от 09.10.2026. T01.2 не правился. Модель T01.1 не обновлялась: правки собираются после согласования этого ответа. Утверждения отчёта, которые можно проверить по исходникам платформы, проверены здесь; результаты - в разделе 4.</w:t>
      </w:r>
    </w:p>
    <w:p>
      <w:pPr>
        <w:pStyle w:val="Heading1"/>
      </w:pPr>
      <w:r>
        <w:t>1 Общие замечания к отчёту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</w:rPr>
              <w:t>Замечание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Статус</w:t>
            </w:r>
          </w:p>
        </w:tc>
        <w:tc>
          <w:tcPr>
            <w:tcW w:type="dxa" w:w="11055"/>
            <w:shd w:val="clear" w:color="auto" w:fill="D9E2F3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1701"/>
          </w:tcPr>
          <w:p>
            <w:r>
              <w:t>База сравнения устарела</w:t>
            </w:r>
          </w:p>
        </w:tc>
        <w:tc>
          <w:tcPr>
            <w:tcW w:type="dxa" w:w="1928"/>
          </w:tcPr>
          <w:p>
            <w:r>
              <w:t>Требует пересборки</w:t>
            </w:r>
          </w:p>
        </w:tc>
        <w:tc>
          <w:tcPr>
            <w:tcW w:type="dxa" w:w="11055"/>
          </w:tcPr>
          <w:p>
            <w:r>
              <w:t>Отчёт сверяет T01.1 «правки24» со спецификацией T01.2 v1.3 от 09.10.2026. Фактически существует редакция v1.5 от 11.10.2026, где часть рекомендаций уже выполнена: требование города у первой точки снято (v1.4), обратное геокодирование переведено на REST GET /api/geo/address с явно заданным радиусом, обоснование правила переписано. Поэтому пункты A07 и A12 выполнены частично, а претензии A14 к §3.3 нужно перепроверить по v1.5. Предлагаю пересобрать отчёт на v1.5 либо пометить затронутые пункты.</w:t>
            </w:r>
          </w:p>
        </w:tc>
      </w:tr>
      <w:tr>
        <w:tc>
          <w:tcPr>
            <w:tcW w:type="dxa" w:w="1701"/>
          </w:tcPr>
          <w:p>
            <w:r>
              <w:t>Статус уточнений аналитика</w:t>
            </w:r>
          </w:p>
        </w:tc>
        <w:tc>
          <w:tcPr>
            <w:tcW w:type="dxa" w:w="1928"/>
          </w:tcPr>
          <w:p>
            <w:r>
              <w:t>Нужен ответ заказчика</w:t>
            </w:r>
          </w:p>
        </w:tc>
        <w:tc>
          <w:tcPr>
            <w:tcW w:type="dxa" w:w="11055"/>
          </w:tcPr>
          <w:p>
            <w:r>
              <w:t>Уточнения 10–11.10 (источники Н4–Н7) в отчёте закрывают вопросы. Там, где они совпадают с записанными ответами заказчика, возражений нет. Там, где расходятся, уточнение аналитика не отменяет ответ заказчика автоматически: см. M12, A15 и A19 по назначению рекомендуемой цены. Иначе журнал решений и документы начнут противоречить друг другу.</w:t>
            </w:r>
          </w:p>
        </w:tc>
      </w:tr>
      <w:tr>
        <w:tc>
          <w:tcPr>
            <w:tcW w:type="dxa" w:w="1701"/>
          </w:tcPr>
          <w:p>
            <w:r>
              <w:t>Решение по ошибкам geo от 12.10</w:t>
            </w:r>
          </w:p>
        </w:tc>
        <w:tc>
          <w:tcPr>
            <w:tcW w:type="dxa" w:w="1928"/>
          </w:tcPr>
          <w:p>
            <w:r>
              <w:t>Меняет отчёт</w:t>
            </w:r>
          </w:p>
        </w:tc>
        <w:tc>
          <w:tcPr>
            <w:tcW w:type="dxa" w:w="11055"/>
          </w:tcPr>
          <w:p>
            <w:r>
              <w:t>Владелец T01.1 и владелец T01.2 согласовали 12.10: любой ответ 417 от geo трактуется как сбой зависимости (502), а 422 ADDRESS_UNRESOLVED остаётся только для успешного ответа с пустым списком адресов. Таблица «Проект обработки результатов geo» и пункт A12 должны быть приведены к этому решению. В T01.2 v1.5 (пункт 7 общих правил) пока записано прежнее правило «422 - любой ответ 417».</w:t>
            </w:r>
          </w:p>
        </w:tc>
      </w:tr>
      <w:tr>
        <w:tc>
          <w:tcPr>
            <w:tcW w:type="dxa" w:w="1701"/>
          </w:tcPr>
          <w:p>
            <w:r>
              <w:t>Номера списков вопросов</w:t>
            </w:r>
          </w:p>
        </w:tc>
        <w:tc>
          <w:tcPr>
            <w:tcW w:type="dxa" w:w="1928"/>
          </w:tcPr>
          <w:p>
            <w:r>
              <w:t>Уточнение</w:t>
            </w:r>
          </w:p>
        </w:tc>
        <w:tc>
          <w:tcPr>
            <w:tcW w:type="dxa" w:w="11055"/>
          </w:tcPr>
          <w:p>
            <w:r>
              <w:t>Отчёт и T01.2 ссылаются на сводный список вопросов архитектору v19. Актуальные редакции: архитектору v25, заказчику v16. Ссылки нужно обновить в обоих документах.</w:t>
            </w:r>
          </w:p>
        </w:tc>
      </w:tr>
    </w:tbl>
    <w:p>
      <w:pPr>
        <w:pStyle w:val="Heading1"/>
      </w:pPr>
      <w:r>
        <w:t>2 Модель данных T01.1: пункты M01–M12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</w:rPr>
              <w:t>Пункт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Позиция</w:t>
            </w:r>
          </w:p>
        </w:tc>
        <w:tc>
          <w:tcPr>
            <w:tcW w:type="dxa" w:w="11055"/>
            <w:shd w:val="clear" w:color="auto" w:fill="D9E2F3"/>
          </w:tcPr>
          <w:p>
            <w:r/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1701"/>
          </w:tcPr>
          <w:p>
            <w:r>
              <w:t>M01 Защита от дубля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Ограничение исключения убираю. Основание в отчёте совпадает с оговоркой, которую я сам записал при внесении: ограничение не может зависеть от текущей даты, поэтому истёкшую запись оно сравнивает, а бизнес-правило D09 её исключает. Пример отчёта с valid_to = 08.10 верен. Что остаётся: поле route_key сохраняется как ключ блокировки и поиска кандидатов, индекс по нему описывается как обычный неуникальный, расширение btree_gist из состава миграции уходит. В модели нужно прямо написать, что уникальность бизнес-правила обеспечивает приложение, а не база: транзакционная блокировка - это протокол, который соблюдает код.</w:t>
            </w:r>
          </w:p>
        </w:tc>
      </w:tr>
      <w:tr>
        <w:tc>
          <w:tcPr>
            <w:tcW w:type="dxa" w:w="1701"/>
          </w:tcPr>
          <w:p>
            <w:r>
              <w:t>M02 Ключ и один автомобиль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Соответствует решению 11.10. Идентификатор автомобиля в route_key не включается, проверяется отдельным условием: иначе общая блокировка не накроет записи-кандидаты с разными машинами. Правила пересечения наборов из D09 удаляются.</w:t>
            </w:r>
          </w:p>
        </w:tc>
      </w:tr>
      <w:tr>
        <w:tc>
          <w:tcPr>
            <w:tcW w:type="dxa" w:w="1701"/>
          </w:tcPr>
          <w:p>
            <w:r>
              <w:t>M03 Ключ действующего тарифа</w:t>
            </w:r>
          </w:p>
        </w:tc>
        <w:tc>
          <w:tcPr>
            <w:tcW w:type="dxa" w:w="1928"/>
          </w:tcPr>
          <w:p>
            <w:r>
              <w:t>Согласен с уточнением</w:t>
            </w:r>
          </w:p>
        </w:tc>
        <w:tc>
          <w:tcPr>
            <w:tcW w:type="dxa" w:w="11055"/>
          </w:tcPr>
          <w:p>
            <w:r>
              <w:t>Разделение ключа для TAXI и GROUP_TRANSFER принимаю, автоматический спуск к потомкам зон не вводим. Уточнение, которого в отчёте нет: тариф без подразделения не только доступен всем подразделениям, но и при загрузке гасит тарифы подразделений с тем же остальным ключом - условие подразделения добавляется в disableOldTariff только когда подразделение задано. Это асимметрия, и её нужно учесть в правиле поиска преемника тарифа.</w:t>
            </w:r>
          </w:p>
        </w:tc>
      </w:tr>
      <w:tr>
        <w:tc>
          <w:tcPr>
            <w:tcW w:type="dxa" w:w="1701"/>
          </w:tcPr>
          <w:p>
            <w:r>
              <w:t>M04 Расчёт и ссылка на тариф</w:t>
            </w:r>
          </w:p>
        </w:tc>
        <w:tc>
          <w:tcPr>
            <w:tcW w:type="dxa" w:w="1928"/>
          </w:tcPr>
          <w:p>
            <w:r>
              <w:t>Согласен частично</w:t>
            </w:r>
          </w:p>
        </w:tc>
        <w:tc>
          <w:tcPr>
            <w:tcW w:type="dxa" w:w="11055"/>
          </w:tcPr>
          <w:p>
            <w:r>
              <w:t>Разделение трёх вещей (цена для формы, расстояние и время, сохранение параметров привязки) принимаю. Возражение: нельзя переносить в разряд «проект для заказчика» пересчёт сохраняемых значений. Если пользователь изменил точки, то расстояние, время и рекомендуемая цена обязаны быть пересчитаны, иначе сохранённые поля противоречат друг другу. К заказчику относится только показ новой цены в форме редактирования (это T01.3). Предлагаю формулировать так: пересчёт сохраняемых значений - правило модели, показ - вопрос интерфейса.</w:t>
            </w:r>
          </w:p>
        </w:tc>
      </w:tr>
      <w:tr>
        <w:tc>
          <w:tcPr>
            <w:tcW w:type="dxa" w:w="1701"/>
          </w:tcPr>
          <w:p>
            <w:r>
              <w:t>M05 Сохранение без изменений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В описании полей заменяю «при каждом сохранении» на «при фактическом изменении записи». При создании version = 0 и updated_by = created_by остаются.</w:t>
            </w:r>
          </w:p>
        </w:tc>
      </w:tr>
      <w:tr>
        <w:tc>
          <w:tcPr>
            <w:tcW w:type="dxa" w:w="1701"/>
          </w:tcPr>
          <w:p>
            <w:r>
              <w:t>M06 Один автомобиль и цена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Массив transports заменяется одиночной привязкой, минимум по набору и резервный минимум по парку убираются. Состав снимка (госномер, марка, модель) и имя поля - к архитектору. По обновлению цены при редактировании см. M04.</w:t>
            </w:r>
          </w:p>
        </w:tc>
      </w:tr>
      <w:tr>
        <w:tc>
          <w:tcPr>
            <w:tcW w:type="dxa" w:w="1701"/>
          </w:tcPr>
          <w:p>
            <w:r>
              <w:t>M07 Адрес первой точки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Откат требования города подтверждён 12.10. Проверено по коду: поиск зоны идёт от частного к общему и гарантированно доходит до региона, country в поиске не участвует, единственное жёсткое ограничение - null в country, region и city, пустая строка допустима. По district моя позиция: хранить его в waypoints как необязательное поле. Адрес мы храним по значению, district участвует в выборе территории, и без него сохранённый адрес неполон относительно того, по чему был выбран тариф. Решение за архитектором.</w:t>
            </w:r>
          </w:p>
        </w:tc>
      </w:tr>
      <w:tr>
        <w:tc>
          <w:tcPr>
            <w:tcW w:type="dxa" w:w="1701"/>
          </w:tcPr>
          <w:p>
            <w:r>
              <w:t>M08 Требование без коэффициентов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Формулировку унифицирую: надбавки за время суток и день недели в рекомендуемую цену не входят; условная дата - технический приём, который сам по себе требование не выполняет. Заказчику вопрос повторно не задаём.</w:t>
            </w:r>
          </w:p>
        </w:tc>
      </w:tr>
      <w:tr>
        <w:tc>
          <w:tcPr>
            <w:tcW w:type="dxa" w:w="1701"/>
          </w:tcPr>
          <w:p>
            <w:r>
              <w:t>M09 Владельцы согласования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Согласовано 12.10. Типы numeric и int4 архитектор не подтверждал - он подтвердил jsonb, int8 и waitTime; точное имя поля номера остаётся проектным; в периоде разделяются бизнес-смысл границ (заказчик) и часовой пояс (архитектор).</w:t>
            </w:r>
          </w:p>
        </w:tc>
      </w:tr>
      <w:tr>
        <w:tc>
          <w:tcPr>
            <w:tcW w:type="dxa" w:w="1701"/>
          </w:tcPr>
          <w:p>
            <w:r>
              <w:t>M10 Сохраняемый ключ привязки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Это моё предложение от 10.10. Проверка закрыта: правка карточки тарифа сохраняет id и номер, но перезаписывает договор, подразделение и регион данными формы, поэтому чтение по tariff_id даёт текущее состояние, а не исходное. Снимок договора и подразделения сохраняется при создании и при согласованной смене привязки, территория фиксируется отдельно от него, в route_key снимок не входит.</w:t>
            </w:r>
          </w:p>
        </w:tc>
      </w:tr>
      <w:tr>
        <w:tc>
          <w:tcPr>
            <w:tcW w:type="dxa" w:w="1701"/>
          </w:tcPr>
          <w:p>
            <w:r>
              <w:t>M11 Действие договора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Моё прежнее утверждение «срок договора платформа не проверяет» заменяется описанием фоновой проверки: задача отключает договоры с датой окончания меньше текущей, тарифы при этом не трогает и события не шлёт. Дополнение к отчёту: прямая проверка срока выполнима - в сервисе тарифов есть контракты с датами начала и окончания, они отдаются в DTO договора. Это дополнительный вызов, доступность метода для нашего сервиса нужно проверить.</w:t>
            </w:r>
          </w:p>
        </w:tc>
      </w:tr>
      <w:tr>
        <w:tc>
          <w:tcPr>
            <w:tcW w:type="dxa" w:w="1701"/>
          </w:tcPr>
          <w:p>
            <w:r>
              <w:t>M12 Назначение рекомендуемой цены</w:t>
            </w:r>
          </w:p>
        </w:tc>
        <w:tc>
          <w:tcPr>
            <w:tcW w:type="dxa" w:w="1928"/>
          </w:tcPr>
          <w:p>
            <w:r>
              <w:t>Не согласен частично</w:t>
            </w:r>
          </w:p>
        </w:tc>
        <w:tc>
          <w:tcPr>
            <w:tcW w:type="dxa" w:w="11055"/>
          </w:tcPr>
          <w:p>
            <w:r>
              <w:t>Принимаю: цена - ориентир при создании, сравнение с фиксированной ценой не вызывает ни предупреждения, ни блокировки, ни автоподстановки; фиксированная цена только больше нуля. Не принимаю удаление обоснования хранения. На встрече 08.10 заказчик ответил, что рекомендуемая стоимость нужна для реестров и выгрузок, и это записано в журнале решений; обязательность поля - решение заказчика от 05.10. Уточнение аналитика от 10.10 эти ответы не отменяет. Предлагаю: поле и обязательность сохранить, назначение переписать как ориентир при создании, а вопрос «нужна ли сохранённая сумма в реестрах и выгрузках» задать заказчику отдельно. До ответа обоснование не удалять.</w:t>
            </w:r>
          </w:p>
        </w:tc>
      </w:tr>
    </w:tbl>
    <w:p>
      <w:pPr>
        <w:pStyle w:val="Heading1"/>
      </w:pPr>
      <w:r>
        <w:t>3 Спецификация T01.2: пункты A01–A20</w:t>
      </w:r>
    </w:p>
    <w:p>
      <w:r>
        <w:t>T01.2 ведёт её владелец, правки вношу не я. Ниже - позиция по существу, чтобы два документа не задавали разработчику разное поведение.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</w:rPr>
              <w:t>Пункт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Позиция</w:t>
            </w:r>
          </w:p>
        </w:tc>
        <w:tc>
          <w:tcPr>
            <w:tcW w:type="dxa" w:w="11055"/>
            <w:shd w:val="clear" w:color="auto" w:fill="D9E2F3"/>
          </w:tcPr>
          <w:p>
            <w:r/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1701"/>
          </w:tcPr>
          <w:p>
            <w:r>
              <w:t>A01 Контракт одного автомобиля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Соответствует решению 11.10 и правке M06.</w:t>
            </w:r>
          </w:p>
        </w:tc>
      </w:tr>
      <w:tr>
        <w:tc>
          <w:tcPr>
            <w:tcW w:type="dxa" w:w="1701"/>
          </w:tcPr>
          <w:p>
            <w:r>
              <w:t>A02 Тариф выбранного автомобиля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Выбор тарифа по минимуму другой машины снимается вместе с набором.</w:t>
            </w:r>
          </w:p>
        </w:tc>
      </w:tr>
      <w:tr>
        <w:tc>
          <w:tcPr>
            <w:tcW w:type="dxa" w:w="1701"/>
          </w:tcPr>
          <w:p>
            <w:r>
              <w:t>A03 Обновление цены при изменении полей</w:t>
            </w:r>
          </w:p>
        </w:tc>
        <w:tc>
          <w:tcPr>
            <w:tcW w:type="dxa" w:w="1928"/>
          </w:tcPr>
          <w:p>
            <w:r>
              <w:t>Согласен частично</w:t>
            </w:r>
          </w:p>
        </w:tc>
        <w:tc>
          <w:tcPr>
            <w:tcW w:type="dxa" w:w="11055"/>
          </w:tcPr>
          <w:p>
            <w:r>
              <w:t>См. M04: пересчёт сохраняемых значений - правило модели, к заказчику относится показ в форме.</w:t>
            </w:r>
          </w:p>
        </w:tc>
      </w:tr>
      <w:tr>
        <w:tc>
          <w:tcPr>
            <w:tcW w:type="dxa" w:w="1701"/>
          </w:tcPr>
          <w:p>
            <w:r>
              <w:t>A04 hasActiveTariff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Параметры из M03 и M10 применяются одинаково в списке, карточке и при оформлении.</w:t>
            </w:r>
          </w:p>
        </w:tc>
      </w:tr>
      <w:tr>
        <w:tc>
          <w:tcPr>
            <w:tcW w:type="dxa" w:w="1701"/>
          </w:tcPr>
          <w:p>
            <w:r>
              <w:t>A05 PUT и параметры привязки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Проверка текущей доступности отделяется от исторической привязки; обычная правка снимок не заменяет.</w:t>
            </w:r>
          </w:p>
        </w:tc>
      </w:tr>
      <w:tr>
        <w:tc>
          <w:tcPr>
            <w:tcW w:type="dxa" w:w="1701"/>
          </w:tcPr>
          <w:p>
            <w:r>
              <w:t>A06 Дата расчёта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Такси - условный будний день, трансфер - текущая дата расчёта, как в D12.</w:t>
            </w:r>
          </w:p>
        </w:tc>
      </w:tr>
      <w:tr>
        <w:tc>
          <w:tcPr>
            <w:tcW w:type="dxa" w:w="1701"/>
          </w:tcPr>
          <w:p>
            <w:r>
              <w:t>A07 Обязательные части адреса</w:t>
            </w:r>
          </w:p>
        </w:tc>
        <w:tc>
          <w:tcPr>
            <w:tcW w:type="dxa" w:w="1928"/>
          </w:tcPr>
          <w:p>
            <w:r>
              <w:t>Согласен, частично выполнено</w:t>
            </w:r>
          </w:p>
        </w:tc>
        <w:tc>
          <w:tcPr>
            <w:tcW w:type="dxa" w:w="11055"/>
          </w:tcPr>
          <w:p>
            <w:r>
              <w:t>В T01.2 v1.4 и v1.5 требование города уже снято и выбран REST с явным радиусом. Остаётся district и представление точки без текстового адреса перевозчику.</w:t>
            </w:r>
          </w:p>
        </w:tc>
      </w:tr>
      <w:tr>
        <w:tc>
          <w:tcPr>
            <w:tcW w:type="dxa" w:w="1701"/>
          </w:tcPr>
          <w:p>
            <w:r>
              <w:t>A08 Блокировка и критерий дубля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Сравнение одного идентификатора автомобиля вместо пересечения наборов; истёкшие записи исключаются на всех путях записи, включая импорт.</w:t>
            </w:r>
          </w:p>
        </w:tc>
      </w:tr>
      <w:tr>
        <w:tc>
          <w:tcPr>
            <w:tcW w:type="dxa" w:w="1701"/>
          </w:tcPr>
          <w:p>
            <w:r>
              <w:t>A09 Запрет продления и восстановления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В модели запрет уже есть; в API вопрос закрывается, DELETE не должен менять признак активности истёкшей записи в обход режима только для чтения.</w:t>
            </w:r>
          </w:p>
        </w:tc>
      </w:tr>
      <w:tr>
        <w:tc>
          <w:tcPr>
            <w:tcW w:type="dxa" w:w="1701"/>
          </w:tcPr>
          <w:p>
            <w:r>
              <w:t>A10 Ответ предрасчёта без тарифов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Внутреннее противоречие T01.2: алгоритм отдаёт 200 с пустым перечнем, таблица ошибок - 409.</w:t>
            </w:r>
          </w:p>
        </w:tc>
      </w:tr>
      <w:tr>
        <w:tc>
          <w:tcPr>
            <w:tcW w:type="dxa" w:w="1701"/>
          </w:tcPr>
          <w:p>
            <w:r>
              <w:t>A11 Генерация номера и импорт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Серверный повтор нужен на любом пути создания, включая импорт и первую строку счётчика: последовательность импорта не исключает параллельного ручного создания.</w:t>
            </w:r>
          </w:p>
        </w:tc>
      </w:tr>
      <w:tr>
        <w:tc>
          <w:tcPr>
            <w:tcW w:type="dxa" w:w="1701"/>
          </w:tcPr>
          <w:p>
            <w:r>
              <w:t>A12 Полнота ошибок</w:t>
            </w:r>
          </w:p>
        </w:tc>
        <w:tc>
          <w:tcPr>
            <w:tcW w:type="dxa" w:w="1928"/>
          </w:tcPr>
          <w:p>
            <w:r>
              <w:t>Согласен с поправкой</w:t>
            </w:r>
          </w:p>
        </w:tc>
        <w:tc>
          <w:tcPr>
            <w:tcW w:type="dxa" w:w="11055"/>
          </w:tcPr>
          <w:p>
            <w:r>
              <w:t>Поправка по решению 12.10: 417 - сбой зависимости (502), 422 ADDRESS_UNRESOLVED - только успешный ответ с пустым списком. Предложение «417 в 422» из отчёта и из T01.2 v1.5 заменяется.</w:t>
            </w:r>
          </w:p>
        </w:tc>
      </w:tr>
      <w:tr>
        <w:tc>
          <w:tcPr>
            <w:tcW w:type="dxa" w:w="1701"/>
          </w:tcPr>
          <w:p>
            <w:r>
              <w:t>A13 Маппинг корпуса и строения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Маппинг остаётся проектным; вывод «на диспетчера не влияет» убирается до проверки на стенде.</w:t>
            </w:r>
          </w:p>
        </w:tc>
      </w:tr>
      <w:tr>
        <w:tc>
          <w:tcPr>
            <w:tcW w:type="dxa" w:w="1701"/>
          </w:tcPr>
          <w:p>
            <w:r>
              <w:t>A14 Реестр и редакционные остатки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Устаревшие ссылки на правки18/19 и утверждение об отсутствии tariff_number править нужно; часть замечаний проверить по v1.5, а не по v1.3.</w:t>
            </w:r>
          </w:p>
        </w:tc>
      </w:tr>
      <w:tr>
        <w:tc>
          <w:tcPr>
            <w:tcW w:type="dxa" w:w="1701"/>
          </w:tcPr>
          <w:p>
            <w:r>
              <w:t>A15 Реестры и объём релиза</w:t>
            </w:r>
          </w:p>
        </w:tc>
        <w:tc>
          <w:tcPr>
            <w:tcW w:type="dxa" w:w="1928"/>
          </w:tcPr>
          <w:p>
            <w:r>
              <w:t>Согласен частично</w:t>
            </w:r>
          </w:p>
        </w:tc>
        <w:tc>
          <w:tcPr>
            <w:tcW w:type="dxa" w:w="11055"/>
          </w:tcPr>
          <w:p>
            <w:r>
              <w:t>Перенос реализации реестров в T04.1, T05.1 и T05.2 возражений не вызывает. Удаление обоснования хранения рекомендуемой цены - см. M12, нужен ответ заказчика.</w:t>
            </w:r>
          </w:p>
        </w:tc>
      </w:tr>
      <w:tr>
        <w:tc>
          <w:tcPr>
            <w:tcW w:type="dxa" w:w="1701"/>
          </w:tcPr>
          <w:p>
            <w:r>
              <w:t>A16 Параметры ключа привязки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Исходные параметры сервер получает из проверенного тарифа и результата определения территории, клиент их не задаёт.</w:t>
            </w:r>
          </w:p>
        </w:tc>
      </w:tr>
      <w:tr>
        <w:tc>
          <w:tcPr>
            <w:tcW w:type="dxa" w:w="1701"/>
          </w:tcPr>
          <w:p>
            <w:r>
              <w:t>A17 Проверка срока договора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Обоснование «срок не проверяем, потому что платформа не проверяет» убирается. Выполнимость прямой проверки - см. M11.</w:t>
            </w:r>
          </w:p>
        </w:tc>
      </w:tr>
      <w:tr>
        <w:tc>
          <w:tcPr>
            <w:tcW w:type="dxa" w:w="1701"/>
          </w:tcPr>
          <w:p>
            <w:r>
              <w:t>A18 Подробности конфликта автомобиля</w:t>
            </w:r>
          </w:p>
        </w:tc>
        <w:tc>
          <w:tcPr>
            <w:tcW w:type="dxa" w:w="1928"/>
          </w:tcPr>
          <w:p>
            <w:r>
              <w:t>Согласен</w:t>
            </w:r>
          </w:p>
        </w:tc>
        <w:tc>
          <w:tcPr>
            <w:tcW w:type="dxa" w:w="11055"/>
          </w:tcPr>
          <w:p>
            <w:r>
              <w:t>В ответе об ошибке возвращаются конфликтующая запись и совпавший автомобиль.</w:t>
            </w:r>
          </w:p>
        </w:tc>
      </w:tr>
      <w:tr>
        <w:tc>
          <w:tcPr>
            <w:tcW w:type="dxa" w:w="1701"/>
          </w:tcPr>
          <w:p>
            <w:r>
              <w:t>A19 Показ цены и валидация fixedCost</w:t>
            </w:r>
          </w:p>
        </w:tc>
        <w:tc>
          <w:tcPr>
            <w:tcW w:type="dxa" w:w="1928"/>
          </w:tcPr>
          <w:p>
            <w:r>
              <w:t>Согласен частично</w:t>
            </w:r>
          </w:p>
        </w:tc>
        <w:tc>
          <w:tcPr>
            <w:tcW w:type="dxa" w:w="11055"/>
          </w:tcPr>
          <w:p>
            <w:r>
              <w:t>Отсутствие реакции на сравнение и правило «больше нуля» принимаю. Утверждение «после сохранения нигде не используется» - см. M12.</w:t>
            </w:r>
          </w:p>
        </w:tc>
      </w:tr>
      <w:tr>
        <w:tc>
          <w:tcPr>
            <w:tcW w:type="dxa" w:w="1701"/>
          </w:tcPr>
          <w:p>
            <w:r>
              <w:t>A20 Изменение поездки такси</w:t>
            </w:r>
          </w:p>
        </w:tc>
        <w:tc>
          <w:tcPr>
            <w:tcW w:type="dxa" w:w="1928"/>
          </w:tcPr>
          <w:p>
            <w:r>
              <w:t>Согласен с уточнением</w:t>
            </w:r>
          </w:p>
        </w:tc>
        <w:tc>
          <w:tcPr>
            <w:tcW w:type="dxa" w:w="11055"/>
          </w:tcPr>
          <w:p>
            <w:r>
              <w:t>Обе ветви принимаю. Уточнение: по записи встречи 09.10 перед сбросом связи пользователь получает предупреждение и подтверждает действие. Этот шаг в двух ветвях отчёта пропал, и его нельзя терять: это ответ заказчика, а не оформление.</w:t>
            </w:r>
          </w:p>
        </w:tc>
      </w:tr>
    </w:tbl>
    <w:p>
      <w:pPr>
        <w:pStyle w:val="Heading1"/>
      </w:pPr>
      <w:r>
        <w:t>4 Что проверено по коду при подготовке ответа</w:t>
      </w:r>
    </w:p>
    <w:p>
      <w:pPr>
        <w:pStyle w:val="ListBullet"/>
      </w:pPr>
      <w:r>
        <w:t>Поиск зоны: SearchRepositoryImpl.search(region, district, city, street, house) - параметра country нет; порядок дом, улица, город, район, регион; несовпавшие кандидаты удаляются из списков города и района, поэтому переход к региону выполняется всегда. Город для определения территории не обязателен.</w:t>
      </w:r>
    </w:p>
    <w:p>
      <w:pPr>
        <w:pStyle w:val="ListBullet"/>
      </w:pPr>
      <w:r>
        <w:t>Жёсткое ограничение - только null: RegionDataResolverImpl.createRequest вызывает setCountry, setRegion и setCity без защиты, тогда как street и house подставляются пустой строкой.</w:t>
      </w:r>
    </w:p>
    <w:p>
      <w:pPr>
        <w:pStyle w:val="ListBullet"/>
      </w:pPr>
      <w:r>
        <w:t>Тело ответа 417 от geo - ExceptionBody с полями пути, времени и сообщения. Поля кода в теле нет: код провайдера используется только для выбора уровня журнала внутри geo. Различить «адрес не найден» и «провайдер недоступен» по ответу нельзя, поэтому разбор тела как способ решения не реализуем.</w:t>
      </w:r>
    </w:p>
    <w:p>
      <w:pPr>
        <w:pStyle w:val="ListBullet"/>
      </w:pPr>
      <w:r>
        <w:t>Радиус обратного геокодирования задаётся в REST (AddressRequestDto.radius, GET address биндит параметры запроса), а в gRPC-обёртке он зашит значением 10 и вызывающему недоступен. Рекомендация «использовать gRPC с явным радиусом» неисполнима; верно обратное.</w:t>
      </w:r>
    </w:p>
    <w:p>
      <w:pPr>
        <w:pStyle w:val="ListBullet"/>
      </w:pPr>
      <w:r>
        <w:t>Ответ обратного геокодирования содержит координаты найденного объекта, поэтому проверка расстояния от исходной точки реализуема на нашей стороне.</w:t>
      </w:r>
    </w:p>
    <w:p>
      <w:pPr>
        <w:pStyle w:val="ListBullet"/>
      </w:pPr>
      <w:r>
        <w:t>REST-доступ к geo-zones подтверждён: контроллер отдаёт search, searchBranch, children, roots, отдельную зону и перечень зон. Утверждение об обязательном gRPC из документов убирается.</w:t>
      </w:r>
    </w:p>
    <w:p>
      <w:pPr>
        <w:pStyle w:val="ListBullet"/>
      </w:pPr>
      <w:r>
        <w:t>Договоры в сервисе тарифов отдаются с датами начала и окончания, поэтому прямая проверка срока договора выполнима как отдельный вызов.</w:t>
      </w:r>
    </w:p>
    <w:p>
      <w:pPr>
        <w:pStyle w:val="ListBullet"/>
      </w:pPr>
      <w:r>
        <w:t>Тариф без подразделения при загрузке гасит тарифы подразделений с тем же остальным ключом: условие подразделения добавляется только когда оно задано.</w:t>
      </w:r>
    </w:p>
    <w:p>
      <w:pPr>
        <w:pStyle w:val="Heading1"/>
      </w:pPr>
      <w:r>
        <w:t>5 Что требуется до сборки правок25 модели</w:t>
      </w:r>
    </w:p>
    <w:p>
      <w:pPr>
        <w:pStyle w:val="ListBullet"/>
      </w:pPr>
      <w:r>
        <w:t>Ответ заказчика по M12, A15 и A19: нужна ли сохранённая рекомендуемая сумма в реестрах и выгрузках. До ответа обоснование хранения в модели остаётся.</w:t>
      </w:r>
    </w:p>
    <w:p>
      <w:pPr>
        <w:pStyle w:val="ListBullet"/>
      </w:pPr>
      <w:r>
        <w:t>Решение архитектора по district: хранить его в точке маршрута или получать заново при каждом определении зоны.</w:t>
      </w:r>
    </w:p>
    <w:p>
      <w:pPr>
        <w:pStyle w:val="ListBullet"/>
      </w:pPr>
      <w:r>
        <w:t>Решение архитектора и DBA по механизму дубля: транзакционная блокировка по route_key вместо ограничения исключения, состав и нормализация ключа.</w:t>
      </w:r>
    </w:p>
    <w:p>
      <w:pPr>
        <w:pStyle w:val="ListBullet"/>
      </w:pPr>
      <w:r>
        <w:t>Решение архитектора по составу снимка привязки к тарифу (договор, подразделение, территория) и по матрице его обновления при создании, правке и импорте.</w:t>
      </w:r>
    </w:p>
    <w:p>
      <w:pPr>
        <w:pStyle w:val="ListBullet"/>
      </w:pPr>
      <w:r>
        <w:t>Радиус обратного геокодирования и порог расхождения между исходной точкой и найденным объектом - архитектор, T01.4.</w:t>
      </w:r>
    </w:p>
    <w:p>
      <w:pPr>
        <w:pStyle w:val="ListBullet"/>
      </w:pPr>
      <w:r>
        <w:t>Подтверждение, что отчёт пересобран на редакции T01.2 v1.5, либо пометка затронутых пунктов A07, A12 и A14.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