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Справка: соответствие полей точки в контрактах</w:t>
      </w:r>
    </w:p>
    <w:p>
      <w:r>
        <w:t>Источники: спецификация адресного API v3.16.0 и код (WaypointDTO заявки и тарифа). Таблица вынесена из T01.1 (раздел 5) 07.10.2026 для использования в T01.4 и T04.1: она описывает передачу точек в заявку и тариф, а не хранение в модели данных.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Адресный API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Точка маршрута (waypoints)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WaypointDTO заявки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WaypointDTO тарифа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UUID; для выдачи COMMON - случайный, если geo его не вернул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 хранится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country, region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string, обязательны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обязательны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string, необязателен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необязателен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street, house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string, необязательны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необязательны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building, structure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 - корпус, structure - строение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как в адресном контракте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 - строение, structure - корпус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latitude, longitude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double; обязательны в NewFavoriteAddress, необязательны в NewAddress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double, обязательны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 (примитив, 0 по умолчанию)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Double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label / 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label (в NewFavoriteAddress обязателен)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name, необязательно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waitTime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waitTime, мс (int64), только у промежуточных точек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Duration, в JSON мс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