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rPr>
          <w:color w:val="C00000"/>
        </w:rPr>
        <w:t>Версия от 09.10.2026 (девятнадцатая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r>
        <w:rPr>
          <w:color w:val="C00000"/>
        </w:rPr>
        <w:t xml:space="preserve"> [ПОДТВЕРЖДЕНО КОДОМ] В сервисе заявок нет ни поля избранного маршрута, ни фильтра по нему: поиск слова favorite по исходникам сервиса заявок пуст, а в DTO поиска заявок (RequestTaxiSearchDTO и др.) около двадцати фильтров без маршрута. Поэтому метод «есть ли активные заявки по favorite_route_id» создаётся в T04.1, а не переиспользуется.</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при недоступности проверки деактивация отклоняется (500/503), а не выполняется.</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w:t>
      </w:r>
      <w:r>
        <w:rPr>
          <w:color w:val="C00000"/>
        </w:rPr>
        <w:t xml:space="preserve">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rPr>
          <w:color w:val="C00000"/>
        </w:rP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w:t>
      </w:r>
      <w:r>
        <w:rPr>
          <w:color w:val="C00000"/>
        </w:rPr>
        <w:t xml:space="preserve"> FR-XXXX-XXXXXXXX</w:t>
      </w:r>
      <w:r>
        <w:t xml:space="preserve">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w:t>
      </w:r>
      <w:r>
        <w:rPr>
          <w:color w:val="C00000"/>
        </w:rPr>
        <w:t>Организация определяется</w:t>
      </w:r>
      <w:r>
        <w:t xml:space="preserve"> по цепочке «учётная запись → сотрудник → подразделение → организация» в локальных </w:t>
      </w:r>
      <w:r>
        <w:rPr>
          <w:color w:val="C00000"/>
        </w:rPr>
        <w:t>таблицах сервисов,</w:t>
      </w:r>
      <w:r>
        <w:t xml:space="preserve"> которые наполняются сообщениями Kafka от корпоративного </w:t>
      </w:r>
      <w:r>
        <w:rPr>
          <w:color w:val="C00000"/>
        </w:rPr>
        <w:t>сервиса: четыре топика (service.organization, service.organization.department, service.organization.employee, service.organization.position;</w:t>
      </w:r>
      <w:r>
        <w:t xml:space="preserve"> OrganizationListenerImpl.java:25-35, </w:t>
      </w:r>
      <w:r>
        <w:rPr>
          <w:color w:val="C00000"/>
        </w:rPr>
        <w:t>kafka.yml:46-64), на них подписаны шестнадцать сервисов (заявки, тарифы, лимиты, согласования, отчёты, уведомления и др.). Сервис</w:t>
      </w:r>
      <w:r>
        <w:t xml:space="preserve">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w:t>
      </w:r>
      <w:r>
        <w:rPr>
          <w:color w:val="C00000"/>
        </w:rPr>
        <w:t xml:space="preserve"> Без решения неисполнимы все методы: организация пользователя определяется именно по этой цепочке, а digitId нужен для номера маршрута.</w:t>
      </w:r>
    </w:p>
    <w:p>
      <w:r>
        <w:rPr>
          <w:b/>
          <w:color w:val="C00000"/>
        </w:rPr>
        <w:t xml:space="preserve">Суть: </w:t>
      </w:r>
      <w:r>
        <w:rPr>
          <w:color w:val="C00000"/>
        </w:rP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rPr>
          <w:color w:val="C00000"/>
        </w:rP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rPr>
          <w:color w:val="C00000"/>
        </w:rP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rPr>
          <w:color w:val="C00000"/>
        </w:rP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color w:val="C00000"/>
        </w:rPr>
        <w:t xml:space="preserve">Рекомендация: </w:t>
      </w:r>
      <w:r>
        <w:rPr>
          <w:color w:val="C00000"/>
        </w:rP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(3) кто выполняет начальную загрузку и как проверяется полнота.</w:t>
      </w:r>
    </w:p>
    <w:p>
      <w:r>
        <w:rPr>
          <w:b/>
          <w:color w:val="C00000"/>
        </w:rPr>
        <w:t xml:space="preserve">Примечание: </w:t>
      </w:r>
      <w:r>
        <w:rPr>
          <w:color w:val="C00000"/>
        </w:rP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w:t>
      </w:r>
      <w:r>
        <w:rPr>
          <w:color w:val="C00000"/>
        </w:rPr>
        <w:t xml:space="preserve">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color w:val="C00000"/>
        </w:rPr>
        <w:t xml:space="preserve">Примечание: </w:t>
      </w:r>
      <w:r>
        <w:rPr>
          <w:color w:val="C00000"/>
        </w:rP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rPr>
          <w:color w:val="C00000"/>
        </w:rPr>
        <w:t>Приложение. Решено по умолчанию, отложено или снято, повторно не задаётся</w:t>
      </w:r>
    </w:p>
    <w:p>
      <w:r>
        <w:rPr>
          <w:color w:val="C00000"/>
        </w:rP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Pr>
                <w:color w:val="C00000"/>
              </w:rPr>
            </w:r>
            <w:r>
              <w:rPr>
                <w:b/>
                <w:color w:val="C00000"/>
              </w:rPr>
              <w:t>Тема (откуда вопрос)</w:t>
            </w:r>
          </w:p>
        </w:tc>
        <w:tc>
          <w:tcPr>
            <w:tcW w:type="dxa" w:w="5386"/>
          </w:tcPr>
          <w:p>
            <w:r>
              <w:rPr>
                <w:color w:val="C00000"/>
              </w:rPr>
            </w:r>
            <w:r>
              <w:rPr>
                <w:b/>
                <w:color w:val="C00000"/>
              </w:rPr>
              <w:t>Решение</w:t>
            </w:r>
          </w:p>
        </w:tc>
        <w:tc>
          <w:tcPr>
            <w:tcW w:type="dxa" w:w="1984"/>
          </w:tcPr>
          <w:p>
            <w:r>
              <w:rPr>
                <w:color w:val="C00000"/>
              </w:rPr>
            </w:r>
            <w:r>
              <w:rPr>
                <w:b/>
                <w:color w:val="C00000"/>
              </w:rPr>
              <w:t>Основание</w:t>
            </w:r>
          </w:p>
        </w:tc>
      </w:tr>
      <w:tr>
        <w:tc>
          <w:tcPr>
            <w:tcW w:type="dxa" w:w="2551"/>
          </w:tcPr>
          <w:p>
            <w:r>
              <w:rPr>
                <w:color w:val="C00000"/>
              </w:rPr>
              <w:t>Расчёт рекомендуемой цены: пересчёт, условная дата, коэффициенты (ред. 17, вопрос 2)</w:t>
            </w:r>
          </w:p>
        </w:tc>
        <w:tc>
          <w:tcPr>
            <w:tcW w:type="dxa" w:w="5386"/>
          </w:tcPr>
          <w:p>
            <w:r>
              <w:rPr>
                <w:color w:val="C00000"/>
              </w:rP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rPr>
                <w:color w:val="C00000"/>
              </w:rPr>
              <w:t>T01.1, D12; заказчик 08.10 (15:26–15:45)</w:t>
            </w:r>
          </w:p>
        </w:tc>
      </w:tr>
      <w:tr>
        <w:tc>
          <w:tcPr>
            <w:tcW w:type="dxa" w:w="2551"/>
          </w:tcPr>
          <w:p>
            <w:r>
              <w:rPr>
                <w:color w:val="C00000"/>
              </w:rPr>
              <w:t>Название точки (ред. 17, вопрос 3)</w:t>
            </w:r>
          </w:p>
        </w:tc>
        <w:tc>
          <w:tcPr>
            <w:tcW w:type="dxa" w:w="5386"/>
          </w:tcPr>
          <w:p>
            <w:r>
              <w:rPr>
                <w:color w:val="C00000"/>
              </w:rP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rPr>
                <w:color w:val="C00000"/>
              </w:rPr>
              <w:t>T01.1, D01, D05</w:t>
            </w:r>
          </w:p>
        </w:tc>
      </w:tr>
      <w:tr>
        <w:tc>
          <w:tcPr>
            <w:tcW w:type="dxa" w:w="2551"/>
          </w:tcPr>
          <w:p>
            <w:r>
              <w:rPr>
                <w:color w:val="C00000"/>
              </w:rPr>
              <w:t>Отсутствующее ожидание, антифрод, лимит многоточечных (ред. 17, вопрос 4)</w:t>
            </w:r>
          </w:p>
        </w:tc>
        <w:tc>
          <w:tcPr>
            <w:tcW w:type="dxa" w:w="5386"/>
          </w:tcPr>
          <w:p>
            <w:r>
              <w:rPr>
                <w:color w:val="C00000"/>
              </w:rP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rPr>
                <w:color w:val="C00000"/>
              </w:rPr>
              <w:t>T01.1, раздел 5; заказчик 08.10 (09:58–10:36)</w:t>
            </w:r>
          </w:p>
        </w:tc>
      </w:tr>
      <w:tr>
        <w:tc>
          <w:tcPr>
            <w:tcW w:type="dxa" w:w="2551"/>
          </w:tcPr>
          <w:p>
            <w:r>
              <w:rPr>
                <w:color w:val="C00000"/>
              </w:rPr>
              <w:t>Права доступа (вопрос 14 списка по T01.2; ред. 17, вопрос 7)</w:t>
            </w:r>
          </w:p>
        </w:tc>
        <w:tc>
          <w:tcPr>
            <w:tcW w:type="dxa" w:w="5386"/>
          </w:tcPr>
          <w:p>
            <w:r>
              <w:rPr>
                <w:color w:val="C00000"/>
              </w:rP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rPr>
                <w:color w:val="C00000"/>
              </w:rPr>
              <w:t>[КОД] role_check_starter (DatabaseRolesMigration, UrlRoleRepositoryImpl, UrlEndpointAllowController); протокол 10.09, п. 10</w:t>
            </w:r>
          </w:p>
        </w:tc>
      </w:tr>
      <w:tr>
        <w:tc>
          <w:tcPr>
            <w:tcW w:type="dxa" w:w="2551"/>
          </w:tcPr>
          <w:p>
            <w:r>
              <w:rPr>
                <w:color w:val="C00000"/>
              </w:rPr>
              <w:t>Методы изменения и деактивации (вопрос 15)</w:t>
            </w:r>
          </w:p>
        </w:tc>
        <w:tc>
          <w:tcPr>
            <w:tcW w:type="dxa" w:w="5386"/>
          </w:tcPr>
          <w:p>
            <w:r>
              <w:rPr>
                <w:color w:val="C00000"/>
              </w:rP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rPr>
                <w:color w:val="C00000"/>
              </w:rPr>
              <w:t>T01.2; [КОД]</w:t>
            </w:r>
          </w:p>
        </w:tc>
      </w:tr>
      <w:tr>
        <w:tc>
          <w:tcPr>
            <w:tcW w:type="dxa" w:w="2551"/>
          </w:tcPr>
          <w:p>
            <w:r>
              <w:rPr>
                <w:color w:val="C00000"/>
              </w:rPr>
              <w:t>Семантика PUT (вопрос 16)</w:t>
            </w:r>
          </w:p>
        </w:tc>
        <w:tc>
          <w:tcPr>
            <w:tcW w:type="dxa" w:w="5386"/>
          </w:tcPr>
          <w:p>
            <w:r>
              <w:rPr>
                <w:color w:val="C00000"/>
              </w:rP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rPr>
                <w:color w:val="C00000"/>
              </w:rPr>
              <w:t>T01.2; [КОД]; T01.1, D07</w:t>
            </w:r>
          </w:p>
        </w:tc>
      </w:tr>
      <w:tr>
        <w:tc>
          <w:tcPr>
            <w:tcW w:type="dxa" w:w="2551"/>
          </w:tcPr>
          <w:p>
            <w:r>
              <w:rPr>
                <w:color w:val="C00000"/>
              </w:rPr>
              <w:t>Состояния записи и повторный DELETE (вопрос 17)</w:t>
            </w:r>
          </w:p>
        </w:tc>
        <w:tc>
          <w:tcPr>
            <w:tcW w:type="dxa" w:w="5386"/>
          </w:tcPr>
          <w:p>
            <w:r>
              <w:rPr>
                <w:color w:val="C00000"/>
              </w:rP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rPr>
                <w:color w:val="C00000"/>
              </w:rPr>
              <w:t>T01.2; T01.1, D14, раздел 6</w:t>
            </w:r>
          </w:p>
        </w:tc>
      </w:tr>
      <w:tr>
        <w:tc>
          <w:tcPr>
            <w:tcW w:type="dxa" w:w="2551"/>
          </w:tcPr>
          <w:p>
            <w:r>
              <w:rPr>
                <w:color w:val="C00000"/>
              </w:rPr>
              <w:t>Предрасчёт и список тарифов для формы (вопрос 18)</w:t>
            </w:r>
          </w:p>
        </w:tc>
        <w:tc>
          <w:tcPr>
            <w:tcW w:type="dxa" w:w="5386"/>
          </w:tcPr>
          <w:p>
            <w:r>
              <w:rPr>
                <w:color w:val="C00000"/>
              </w:rP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rPr>
                <w:color w:val="C00000"/>
              </w:rPr>
              <w:t>T01.1, D07, D12; решение заказчика 08.10 о ручном выборе тарифа</w:t>
            </w:r>
          </w:p>
        </w:tc>
      </w:tr>
      <w:tr>
        <w:tc>
          <w:tcPr>
            <w:tcW w:type="dxa" w:w="2551"/>
          </w:tcPr>
          <w:p>
            <w:r>
              <w:rPr>
                <w:color w:val="C00000"/>
              </w:rPr>
              <w:t>Идемпотентность POST (вопрос 19)</w:t>
            </w:r>
          </w:p>
        </w:tc>
        <w:tc>
          <w:tcPr>
            <w:tcW w:type="dxa" w:w="5386"/>
          </w:tcPr>
          <w:p>
            <w:r>
              <w:rPr>
                <w:color w:val="C00000"/>
              </w:rP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rPr>
                <w:color w:val="C00000"/>
              </w:rPr>
              <w:t>T01.2; [КОД]</w:t>
            </w:r>
          </w:p>
        </w:tc>
      </w:tr>
      <w:tr>
        <w:tc>
          <w:tcPr>
            <w:tcW w:type="dxa" w:w="2551"/>
          </w:tcPr>
          <w:p>
            <w:r>
              <w:rPr>
                <w:color w:val="C00000"/>
              </w:rPr>
              <w:t>Ошибки geo и тарифа при сохранении (вопрос 23)</w:t>
            </w:r>
          </w:p>
        </w:tc>
        <w:tc>
          <w:tcPr>
            <w:tcW w:type="dxa" w:w="5386"/>
          </w:tcPr>
          <w:p>
            <w:r>
              <w:rPr>
                <w:color w:val="C00000"/>
              </w:rPr>
              <w:t>Наружу: 502 на ошибку зависимости, 504 на таймаут; повторов нет; транзакция не начинается до получения расчёта. Код 417 от geo (на любую ошибку провайдера, в том числе «адрес не найден») трактуется как ошибка зависимости, пока geo не различает причины. Таймаут - по замеру времени расчёта в T01.4.</w:t>
            </w:r>
          </w:p>
        </w:tc>
        <w:tc>
          <w:tcPr>
            <w:tcW w:type="dxa" w:w="1984"/>
          </w:tcPr>
          <w:p>
            <w:r>
              <w:rPr>
                <w:color w:val="C00000"/>
              </w:rPr>
              <w:t>[КОД] geo-main, ControllerExceptionHandler</w:t>
            </w:r>
          </w:p>
        </w:tc>
      </w:tr>
      <w:tr>
        <w:tc>
          <w:tcPr>
            <w:tcW w:type="dxa" w:w="2551"/>
          </w:tcPr>
          <w:p>
            <w:r>
              <w:rPr>
                <w:color w:val="C00000"/>
              </w:rPr>
              <w:t>Территория тарифа и даты тарифа для такси (вопрос 26)</w:t>
            </w:r>
          </w:p>
        </w:tc>
        <w:tc>
          <w:tcPr>
            <w:tcW w:type="dxa" w:w="5386"/>
          </w:tcPr>
          <w:p>
            <w:r>
              <w:rPr>
                <w:color w:val="C00000"/>
              </w:rPr>
              <w:t>Территория - цепочка геозон по полям адреса первой точки (RegionDataResolverImpl, geo-zones regionBranch). При ручном вводе координат адрес определяется по координатам, как в обычной заявке (радиус 50 м); если адрес не найден, точка не принимается. Для такси проверяется «тариф и договор действуют сейчас» (флаги), для группового трансфера - даты тарифа; срок договора не проверяется, как и в штатном расчёте (на стенде договоры с истёкшим сроком остаются «Активный»).</w:t>
            </w:r>
          </w:p>
        </w:tc>
        <w:tc>
          <w:tcPr>
            <w:tcW w:type="dxa" w:w="1984"/>
          </w:tcPr>
          <w:p>
            <w:r>
              <w:rPr>
                <w:color w:val="C00000"/>
              </w:rPr>
              <w:t>T01.1, D01, D07, D14; заказчик 08.10; [КОД]; [СТЕНД]</w:t>
            </w:r>
          </w:p>
        </w:tc>
      </w:tr>
      <w:tr>
        <w:tc>
          <w:tcPr>
            <w:tcW w:type="dxa" w:w="2551"/>
          </w:tcPr>
          <w:p>
            <w:r>
              <w:rPr>
                <w:color w:val="C00000"/>
              </w:rPr>
              <w:t>Перечень тарифов для выбора (вопросы 25, 27, 28, 29 списка по T01.2)</w:t>
            </w:r>
          </w:p>
        </w:tc>
        <w:tc>
          <w:tcPr>
            <w:tcW w:type="dxa" w:w="5386"/>
          </w:tcPr>
          <w:p>
            <w:r>
              <w:rPr>
                <w:color w:val="C00000"/>
              </w:rP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rPr>
                <w:color w:val="C00000"/>
              </w:rPr>
              <w:t>T01.1, D07; заказчик 08.10 (16:59–20:37) и 09.10</w:t>
            </w:r>
          </w:p>
        </w:tc>
      </w:tr>
      <w:tr>
        <w:tc>
          <w:tcPr>
            <w:tcW w:type="dxa" w:w="2551"/>
          </w:tcPr>
          <w:p>
            <w:r>
              <w:rPr>
                <w:color w:val="C00000"/>
              </w:rPr>
              <w:t>Число вызовов тарифов и кэш (вопрос 21)</w:t>
            </w:r>
          </w:p>
        </w:tc>
        <w:tc>
          <w:tcPr>
            <w:tcW w:type="dxa" w:w="5386"/>
          </w:tcPr>
          <w:p>
            <w:r>
              <w:rPr>
                <w:color w:val="C00000"/>
              </w:rPr>
              <w:t>Отложено: без собственного кэша, решение по замеру времени ответа в T01.4 (около 15–20 вызовов на открытие списка выбора).</w:t>
            </w:r>
          </w:p>
        </w:tc>
        <w:tc>
          <w:tcPr>
            <w:tcW w:type="dxa" w:w="1984"/>
          </w:tcPr>
          <w:p>
            <w:r>
              <w:rPr>
                <w:color w:val="C00000"/>
              </w:rPr>
              <w:t>T01.1, D07</w:t>
            </w:r>
          </w:p>
        </w:tc>
      </w:tr>
      <w:tr>
        <w:tc>
          <w:tcPr>
            <w:tcW w:type="dxa" w:w="2551"/>
          </w:tcPr>
          <w:p>
            <w:r>
              <w:rPr>
                <w:color w:val="C00000"/>
              </w:rPr>
              <w:t>Массовый импорт (вопрос 22)</w:t>
            </w:r>
          </w:p>
        </w:tc>
        <w:tc>
          <w:tcPr>
            <w:tcW w:type="dxa" w:w="5386"/>
          </w:tcPr>
          <w:p>
            <w:r>
              <w:rPr>
                <w:color w:val="C00000"/>
              </w:rP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rPr>
                <w:color w:val="C00000"/>
              </w:rPr>
              <w:t>T01.2; [КОД] excel-main, tariff-main</w:t>
            </w:r>
          </w:p>
        </w:tc>
      </w:tr>
      <w:tr>
        <w:tc>
          <w:tcPr>
            <w:tcW w:type="dxa" w:w="2551"/>
          </w:tcPr>
          <w:p>
            <w:r>
              <w:rPr>
                <w:color w:val="C00000"/>
              </w:rPr>
              <w:t>Решено ранее и повторно не задаётся</w:t>
            </w:r>
          </w:p>
        </w:tc>
        <w:tc>
          <w:tcPr>
            <w:tcW w:type="dxa" w:w="5386"/>
          </w:tcPr>
          <w:p>
            <w:r>
              <w:rPr>
                <w:color w:val="C00000"/>
              </w:rP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цена на дату создания, нужен ли сам класс - уточняет заказчик.</w:t>
            </w:r>
          </w:p>
        </w:tc>
        <w:tc>
          <w:tcPr>
            <w:tcW w:type="dxa" w:w="1984"/>
          </w:tcPr>
          <w:p>
            <w:r>
              <w:rPr>
                <w:color w:val="C00000"/>
              </w:rP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