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итогам встречи 05.10.2026</w:t>
      </w:r>
    </w:p>
    <w:p>
      <w:r>
        <w:t>Остаются два вопроса; остальное решено на встрече 05.10 (см. таблицу в конце). Тайм-коды — по файлу стенограммы (машинная запись, возможны неточности).</w:t>
      </w:r>
    </w:p>
    <w:p>
      <w:pPr>
        <w:pStyle w:val="Heading2"/>
      </w:pPr>
      <w:r>
        <w:t>Вопрос 1. Нужен ли класс TRANSFER_CAR_CHOICE («Выбор автомобиля») в избранных маршрутах</w:t>
      </w:r>
    </w:p>
    <w:p>
      <w:pPr>
        <w:spacing w:after="60"/>
      </w:pPr>
      <w:r>
        <w:rPr>
          <w:b/>
        </w:rPr>
        <w:t xml:space="preserve">Откуда: </w:t>
      </w:r>
      <w:r>
        <w:t>Протокол 17.09, п. 4: выбор автомобиля выполняется при оформлении заявки. Расчёт для этого класса зависит от даты поездки и свободных автомобилей, поэтому рекомендуемая стоимость в избранном маршруте не считается (см. вопрос архитектору №4).</w:t>
      </w:r>
    </w:p>
    <w:p>
      <w:pPr>
        <w:spacing w:after="60"/>
      </w:pPr>
      <w:r>
        <w:rPr>
          <w:b/>
        </w:rPr>
        <w:t xml:space="preserve">Суть: </w:t>
      </w:r>
      <w:r>
        <w:t>Нужен ли этот класс в избранных маршрутах и допустима ли пустая рекомендуемая стоимость для него.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A. Класс нужен, рекомендуемая стоимость для него пустая.</w:t>
      </w:r>
    </w:p>
    <w:p>
      <w:pPr>
        <w:pStyle w:val="ListBullet"/>
      </w:pPr>
      <w:r>
        <w:t>B. Класс не нужен.</w:t>
      </w:r>
    </w:p>
    <w:p>
      <w:pPr>
        <w:spacing w:after="60"/>
      </w:pPr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2. Отображение стоимости при оформлении заявки</w:t>
      </w:r>
    </w:p>
    <w:p>
      <w:pPr>
        <w:spacing w:after="60"/>
      </w:pPr>
      <w:r>
        <w:rPr>
          <w:b/>
        </w:rPr>
        <w:t xml:space="preserve">Откуда: </w:t>
      </w:r>
      <w:r>
        <w:t>Стенограмма 09:00–09:25: рекомендуемая стоимость «остаётся в справочнике», «мы его не передаём на фронт»; обязательное поле в справочнике. Запись 00:00–00:54: платное время ожидания показывается.</w:t>
      </w:r>
    </w:p>
    <w:p>
      <w:pPr>
        <w:spacing w:after="60"/>
      </w:pPr>
      <w:r>
        <w:rPr>
          <w:b/>
        </w:rPr>
        <w:t xml:space="preserve">Суть: </w:t>
      </w:r>
      <w:r>
        <w:t>Подтвердить, что при оформлении заявки пользователь видит фиксированную цену по прайсу, а рекомендуемая стоимость хранится только в справочнике и реестрах.</w:t>
      </w:r>
    </w:p>
    <w:p>
      <w:pPr>
        <w:spacing w:after="40"/>
      </w:pPr>
      <w:r>
        <w:rPr>
          <w:b/>
        </w:rPr>
        <w:t>Варианты:</w:t>
      </w:r>
    </w:p>
    <w:p>
      <w:pPr>
        <w:pStyle w:val="ListBullet"/>
      </w:pPr>
      <w:r>
        <w:t>A. Да.</w:t>
      </w:r>
    </w:p>
    <w:p>
      <w:pPr>
        <w:pStyle w:val="ListBullet"/>
      </w:pPr>
      <w:r>
        <w:t>B. Рекомендуемая стоимость тоже показывается пользователю.</w:t>
      </w:r>
    </w:p>
    <w:p>
      <w:pPr>
        <w:spacing w:after="60"/>
      </w:pPr>
      <w:r>
        <w:rPr>
          <w:b/>
        </w:rPr>
        <w:t xml:space="preserve">Рекомендация: </w:t>
      </w:r>
      <w:r>
        <w:t>A; влияет на T01.3 и T04.1.</w:t>
      </w:r>
    </w:p>
    <w:p>
      <w:pPr>
        <w:pStyle w:val="Heading1"/>
      </w:pPr>
      <w:r>
        <w:t>Закрыто по записи 05.10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</w:rPr>
              <w:t>Вопрос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Решение</w:t>
            </w:r>
          </w:p>
        </w:tc>
      </w:tr>
      <w:tr>
        <w:tc>
          <w:tcPr>
            <w:tcW w:type="dxa" w:w="2835"/>
          </w:tcPr>
          <w:p>
            <w:r>
              <w:t>Число точек</w:t>
            </w:r>
          </w:p>
        </w:tc>
        <w:tc>
          <w:tcPr>
            <w:tcW w:type="dxa" w:w="6803"/>
          </w:tcPr>
          <w:p>
            <w:r>
              <w:t>От 2 до 26, включая базу (10:24–12:04). Первая точка — место базирования (гараж, отель), последняя — конечная точка; для маршрутов с возвратом совпадает с базой. «3 или 4» (24.09) и «10 вместе с точками локации» (30.09) заменены.</w:t>
            </w:r>
          </w:p>
        </w:tc>
      </w:tr>
      <w:tr>
        <w:tc>
          <w:tcPr>
            <w:tcW w:type="dxa" w:w="2835"/>
          </w:tcPr>
          <w:p>
            <w:r>
              <w:t>Название точки</w:t>
            </w:r>
          </w:p>
        </w:tc>
        <w:tc>
          <w:tcPr>
            <w:tcW w:type="dxa" w:w="6803"/>
          </w:tcPr>
          <w:p>
            <w:r>
              <w:t>Поле name (в адресном API — label) есть в точке, но необязательно (09:40–10:11).</w:t>
            </w:r>
          </w:p>
        </w:tc>
      </w:tr>
      <w:tr>
        <w:tc>
          <w:tcPr>
            <w:tcW w:type="dxa" w:w="2835"/>
          </w:tcPr>
          <w:p>
            <w:r>
              <w:t>Классы такси</w:t>
            </w:r>
          </w:p>
        </w:tc>
        <w:tc>
          <w:tcPr>
            <w:tcW w:type="dxa" w:w="6803"/>
          </w:tcPr>
          <w:p>
            <w:r>
              <w:t>OFFICIAL и автобусные классы остаются (12:24–13:30).</w:t>
            </w:r>
          </w:p>
        </w:tc>
      </w:tr>
      <w:tr>
        <w:tc>
          <w:tcPr>
            <w:tcW w:type="dxa" w:w="2835"/>
          </w:tcPr>
          <w:p>
            <w:r>
              <w:t>Ночной признак трансфера</w:t>
            </w:r>
          </w:p>
        </w:tc>
        <w:tc>
          <w:tcPr>
            <w:tcW w:type="dxa" w:w="6803"/>
          </w:tcPr>
          <w:p>
            <w:r>
              <w:t>Для трансфера признак необязателен, по умолчанию false; подбор ночного или дневного варианта по времени выезда — T02/T04.1.</w:t>
            </w:r>
          </w:p>
        </w:tc>
      </w:tr>
      <w:tr>
        <w:tc>
          <w:tcPr>
            <w:tcW w:type="dxa" w:w="2835"/>
          </w:tcPr>
          <w:p>
            <w:r>
              <w:t>Период маршрута и тариф</w:t>
            </w:r>
          </w:p>
        </w:tc>
        <w:tc>
          <w:tcPr>
            <w:tcW w:type="dxa" w:w="6803"/>
          </w:tcPr>
          <w:p>
            <w:r>
              <w:t>Круглогодичные маршруты допускаются (12:07–12:17); маршрут действует, пока действует тариф; период маршрута тарифом при сохранении не ограничивается.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