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(четырнадцатая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 и часовому поясу периода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</w:rPr>
        <w:t xml:space="preserve">Откуда: </w:t>
      </w:r>
      <w: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</w:rPr>
        <w:t xml:space="preserve">Суть: </w:t>
      </w:r>
      <w: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дневных, какие значения признаков трансфера считать по умолчанию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(по умолчанию все выключены),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 Значения признаков трансфера по умолчанию - вопрос заказчику 3.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Решено (08.10): границы периода трактуются в часовом поясе региона первой точки, последний день периода включается целиком (до 23:59:59).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решением 08.10 по часовому поясу и границам.</w:t>
      </w:r>
    </w:p>
    <w:p>
      <w:pPr>
        <w:pStyle w:val="Heading2"/>
      </w:pPr>
      <w:r>
        <w:t>Вопрос 4.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</w:rPr>
        <w:t xml:space="preserve">Рекомендация: </w:t>
      </w:r>
      <w: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19.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