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АРХИТЕКТОРОМ] - решение подтверждено в ответах архитектора от 08.10.2026.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ответы архитектора на вопросы по T01.1 от 08.10.2026;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АРХИТЕКТОРОМ 08.10]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АРХИТЕКТОРОМ 08.10: тип int8]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АРХИТЕКТОРОМ 08.10: тип int8]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АРХИТЕКТОРОМ 08.10]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АРХИТЕКТОРОМ 08.10]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АРХИТЕКТОРОМ 08.10]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АРХИТЕКТОРОМ 08.10]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АРХИТЕКТОРОМ 08.10]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АРХИТЕКТОРОМ] Наличие действующего тарифа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АРХИТЕКТОРОМ 08.10]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(вопрос архитектору 29).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Правило подтверждено архитектором (08.10): тариф маршрута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В POST search фильтра по подразделению нет; влияние подразделений на тарифы уточняется (вопросы архитектору 26, заказчику 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при заказе по маршруту — вопрос архитектору 15 (T04.1).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Открыто: выбор тарифа при нескольких тарифах одного класса (вопросы архитектору 26, заказчику 14); права доступа к POST search и списку тарифов (вопрос архитектору 27); фильтр списка по должности сотрудника (вопросы архитектору 28, заказчику 15).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АРХИТЕКТОРОМ 08.10] Число точек от 2 до 26. Предложение архитектора: 26 -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 В БТ остаётся 10 адресов (критерии приёмки, негативный тест «11 адресов») - БТ нужно обновить.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АРХИТЕКТОРОМ 08.10: тип int8]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вопрос архитектору 21 (T01.2).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(предложение архитектора 08.10):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вопрос заказчику 13.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(вопрос архитектору 10).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Архитектор (08.10): склоняется не добавлять, если интерфейсу не нужна дата расчёта (зависит от макетов T01.3); из истории дату можно восстановить, только если значение изменилось.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АРХИТЕКТОРОМ 08.10] Схема: POST search, затем расчёт по найденному tariffId; результат не зависит от должности и подразделения, расчёт ведётся от имени автора маршрута.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Архитектор (08.10): выбор зависит от формата массового импорта (БТ §14, вопрос 6): при последовательном импорте или одной транзакции подходит эта схема, при параллельном - UPDATE … RETURNING; по умолчанию склоняется к библиотеке. digitId определяется на сервере по организации из токена и с клиента не принимается; источник (сервис, ключ) уточняется.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Варианты обсуждаются в вопросе архитектору 5 и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Архитектор (08.10) склоняется к варианту Б;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