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В POST search фильтра по подразделению нет; влияние подразделений на тарифы уточняется (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вопросы архитектору 1, заказчику 14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 архитектору 5 (T04.1)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Открыто: выбор тарифа при нескольких тарифах одного класса (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вопросы архитектору 1, заказчику 14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); права доступа к POST search и списку тарифов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2)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; фильтр списка по должности сотрудника (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вопросы архитектору 4, заказчику 15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18 (T01.2)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7)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результат не зависит от должности и подразделения, расчёт ведётся от имени автора маршрута.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digitId определяется на сервере по организации из токена и с клиента не принимается;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источник (сервис, ключ) уточняется (вопрос архитектору 12).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Детали совместной проверки периодов маршрута и тарифа - вопросы архитектору 3 и заказчику 8.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