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Вопросы архитектору по T01.1 и T01.2</w:t>
      </w:r>
    </w:p>
    <w:p>
      <w:r>
        <w:t>Версия от 09.10.2026 (двадцать первая редакция). Объединены список «Вопросы архитектору по T01.1 и T01.2» (редакция 18) и список «Вопросы архитектору по T01.2» (вопросы 13–29, триаж 09.10.2026): совпадающие вопросы сведены в один, оставлена более точная формулировка с фактами из обоих. В документе только вопросы, на которые нужен ответ архитектора. Вопрос 1 объединяет перепроверку маршрута при создании заявки (редакция 18, вопрос 1) и проверку активных заявок (вопрос 20 списка по T01.2); вопрос 2 - источник digitId (редакция 18, вопрос 2) и локальные копии справочников (вопрос 24); вопрос 3 - контур API (вопрос 13, формат страницы из него убран: Spring Page подтверждён на стенде). Остальные вопросы обоих списков решены по умолчанию, сняты ответом заказчика от 09.10 (в перечень тарифов входят только корпоративные тарифы), отложены до замеров T01.4 или не относятся к архитектору; перечень и основания - в приложении. По сравнению с двадцатой редакцией из вопроса 1 убрана справка об отсутствии поля избранного маршрута в сервисе заявок (поле появится в T04.1). Пометка [КОД] и [ПОДТВЕРЖДЕНО КОДОМ] означает проверку по исходникам платформы; [СТЕНД] - наблюдение на тестовом стенде 08.10 (тестовая организация с условными данными; данных Манжерока на стенде нет, картину нужно перепроверить после их появления).</w:t>
      </w:r>
    </w:p>
    <w:p>
      <w:pPr>
        <w:pStyle w:val="Heading1"/>
      </w:pPr>
      <w:r>
        <w:t>Часть 1. Модель данных, интеграция и заявка (T01.1, T01.4, T04.1)</w:t>
      </w:r>
    </w:p>
    <w:p>
      <w:pPr>
        <w:pStyle w:val="Heading2"/>
      </w:pPr>
      <w:r>
        <w:t>Вопрос 1. Два межсервисных метода для заявки по маршруту: перепроверка на дату и активные заявки (T04.1, T01.2)</w:t>
      </w:r>
    </w:p>
    <w:p>
      <w:r>
        <w:rPr>
          <w:b/>
        </w:rPr>
        <w:t xml:space="preserve">Откуда: </w:t>
      </w:r>
      <w:r>
        <w:t>Решено (ответ архитектора 08.10): при создании заявки сервер обязательно перепроверяет тариф и период маршрута на дату поездки независимо от того, как построен список; иначе маршрут, выбранный «на сегодня», пройдёт на дату, где тарифа уже нет. Решено (журнал решений, граница 08.10): существующие сервисы меняются только в объёме T04.1 (поля заявки) и T01.4 (вызовы существующих методов тарифов и geo). Решено (T01.1, раздел 6): при активной заявке удаление маршрута запрещено, завершённые поездки не препятствуют; активной считается заявка в нетерминальном статусе. [ПОДТВЕРЖДЕНО КОДОМ] Сейчас при создании заявки сервис заявок берёт tariffId, стоимость, расстояние и время из запроса и не пересчитывает их; gRPC-пересчёт через сервис тарифов используется только при удалении точки существующей заявки (RequestForTaxiServiceImpl.java:187-188; RequestServiceImpl.java:435-450). Перепроверка - новая логика T04.1. [ПОДТВЕРЖДЕНО КОДОМ] У статуса заявки есть признак terminal (TripRequestStatus.java:467, 870-874); для такси и группового трансфера терминальны только «отменена» и «завершена», остальные статусы активны. Недоступность проверки не означает отсутствие активных заявок.</w:t>
      </w:r>
    </w:p>
    <w:p>
      <w:r>
        <w:rPr>
          <w:b/>
        </w:rPr>
        <w:t xml:space="preserve">Суть: </w:t>
      </w:r>
      <w:r>
        <w:t>Подтвердить, что в T04.1 входят два новых вызова между сервисами заявок и маршрутов, и выбрать для каждого владельца метода: (1) перепроверка маршрута при создании заявки; (2) проверка активных заявок при деактивации маршрута и защита от создания заявки во время деактивации.</w:t>
      </w:r>
    </w:p>
    <w:p>
      <w:r>
        <w:rPr>
          <w:b/>
        </w:rPr>
        <w:t>Варианты:</w:t>
      </w:r>
    </w:p>
    <w:p>
      <w:pPr>
        <w:pStyle w:val="ListBullet"/>
      </w:pPr>
      <w:r>
        <w:t>1. Перепроверка при создании заявки. A. Сервис заявок вызывает метод сервиса маршрутов «доступен ли маршрут на дату» (одно правило доступности в одном месте). B. Сервис заявок проверяет сам по сохранённым параметрам маршрута и вызову тарифов.</w:t>
      </w:r>
    </w:p>
    <w:p>
      <w:pPr>
        <w:pStyle w:val="ListBullet"/>
      </w:pPr>
      <w:r>
        <w:t>2. Активные заявки. A. Сервис заявок предоставляет метод «есть ли активные заявки по favorite_route_id»; деактивация и создание заявки согласуются через версию маршрута (заявка хранит favorite_route_version; деактивация меняет версию). B. Сервис маршрутов хранит счётчик активных заявок, обновляемый событиями.</w:t>
      </w:r>
    </w:p>
    <w:p>
      <w:r>
        <w:rPr>
          <w:b/>
        </w:rPr>
        <w:t xml:space="preserve">Рекомендация: </w:t>
      </w:r>
      <w:r>
        <w:t>1 - A: правило доступности остаётся в одном месте. 2 - A; при недоступности проверки деактивация отклоняется (500/503), а не выполняется.</w:t>
      </w:r>
    </w:p>
    <w:p>
      <w:r>
        <w:rPr>
          <w:b/>
        </w:rPr>
        <w:t xml:space="preserve">Примечание: </w:t>
      </w:r>
      <w:r>
        <w:t>Оба вызова затрагивают сервис заявок (вызов метода маршрутов и новый метод проверки активных заявок) и выходят за границу «поля заявки»: нужно подтвердить, что они входят в T04.1. Контракт со стороны сервиса заявок согласует его владелец вместе с T04.1; от архитектора нужно утверждение способа согласования через версию маршрута.</w:t>
      </w:r>
    </w:p>
    <w:p>
      <w:pPr>
        <w:pStyle w:val="Heading2"/>
      </w:pPr>
      <w:r>
        <w:t>Вопрос 2. Локальные копии организаций, подразделений и сотрудников в сервисе маршрутов; источник digitId (D13)</w:t>
      </w:r>
    </w:p>
    <w:p>
      <w:r>
        <w:rPr>
          <w:b/>
        </w:rPr>
        <w:t xml:space="preserve">Откуда: </w:t>
      </w:r>
      <w:r>
        <w:t>Решено (T01.1, D13): номер FR-XXXX-XXXXXXXX выдаёт штатная библиотека human-readable-generator; digitId определяется на сервере и с клиента не принимается. Архитектор (08.10): откуда брать digitId (какой сервис или справочник организаций, какой ключ), он не знает. [ПОДТВЕРЖДЕНО КОДОМ] В токене доступа нет организации и digitId: в нём id учётной записи, роли и scope (AccessTokenProviderImpl.java:105-121). Организация определяется по цепочке «учётная запись → сотрудник → подразделение → организация» в локальных таблицах сервисов, которые наполняются сообщениями Kafka от корпоративного сервиса: четыре топика (service.organization, service.organization.department, service.organization.employee, service.organization.position; OrganizationListenerImpl.java:25-35, kafka.yml:46-64), на них подписаны шестнадцать сервисов (заявки, тарифы, лимиты, согласования, отчёты, уведомления и др.). Сервис заявок берёт digitId для номера заявки из своей копии организации (RequestForTaxiServiceImpl.java:172-179). [КОД] gRPC-контракт организаций с полем digitId существует (organizations.proto:146), но сервис заявок им для этого не пользуется. [СТЕНД] На стенде (08.10) номера объектов разных сервисов содержат одну и ту же часть организации 0013: тарифы TF-0013-…, пользователи US-0013-…, должности PS-0013-…. Формат (четыре цифры с ведущими нулями) и общий для сервисов digitId подтверждены; из какого сервиса или справочника сервис маршрутов должен брать значение, по стенду не определяется. Без решения неисполнимы все методы: организация пользователя определяется именно по этой цепочке, а digitId нужен для номера маршрута.</w:t>
      </w:r>
    </w:p>
    <w:p>
      <w:r>
        <w:rPr>
          <w:b/>
        </w:rPr>
        <w:t xml:space="preserve">Суть: </w:t>
      </w:r>
      <w:r>
        <w:t>Состав локальных копий в сервисе маршрутов, их наполнение, поведение сервиса, пока данных ещё нет, и источник digitId.</w:t>
      </w:r>
    </w:p>
    <w:p>
      <w:r>
        <w:rPr>
          <w:b/>
        </w:rPr>
        <w:t>Варианты:</w:t>
      </w:r>
    </w:p>
    <w:p>
      <w:pPr>
        <w:pStyle w:val="ListBullet"/>
      </w:pPr>
      <w:r>
        <w:t>A. Полная цепочка локально: организации (с digitId), подразделения, сотрудники (при необходимости должности); подписка на четыре топика; начальная загрузка - отдельной задачей. Как в сервисах заявок и тарифов.</w:t>
      </w:r>
    </w:p>
    <w:p>
      <w:pPr>
        <w:pStyle w:val="ListBullet"/>
      </w:pPr>
      <w:r>
        <w:t>B. Локально только организации (с digitId); сотрудник и подразделение запрашиваются синхронно у корпоративного сервиса при каждом вызове.</w:t>
      </w:r>
    </w:p>
    <w:p>
      <w:pPr>
        <w:pStyle w:val="ListBullet"/>
      </w:pPr>
      <w:r>
        <w:t>C. Без локальных копий: цепочка и digitId запрашиваются у корпоративного сервиса по gRPC (поле digitId в organizations.proto) при каждом вызове и при выдаче номера. Другие сервисы так не делают; нужен доступ к контракту и оценка нагрузки.</w:t>
      </w:r>
    </w:p>
    <w:p>
      <w:r>
        <w:rPr>
          <w:b/>
        </w:rPr>
        <w:t xml:space="preserve">Рекомендация: </w:t>
      </w:r>
      <w:r>
        <w:t>A: штатный приём платформы; вариант «digitId в токене» исключён кодом. При A нужны три ответа: (1) какие сообщения и какой контракт каждого топика; (2) что отвечает API, если сотрудник или организация ещё не получены: 403, 404 или 503; (3) кто выполняет начальную загрузку и как проверяется полнота.</w:t>
      </w:r>
    </w:p>
    <w:p>
      <w:r>
        <w:rPr>
          <w:b/>
        </w:rPr>
        <w:t xml:space="preserve">Примечание: </w:t>
      </w:r>
      <w:r>
        <w:t>Влияет на состав зависимостей нового сервиса и на T01.2/T04.1. Это новая работа, не учтённая в оценке T01.2 (13 SP по карточке): объём стоит зафиксировать отдельно.</w:t>
      </w:r>
    </w:p>
    <w:p>
      <w:pPr>
        <w:pStyle w:val="Heading1"/>
      </w:pPr>
      <w:r>
        <w:t>Часть 2. API (T01.2)</w:t>
      </w:r>
    </w:p>
    <w:p>
      <w:pPr>
        <w:pStyle w:val="Heading2"/>
      </w:pPr>
      <w:r>
        <w:t>Вопрос 3. Контур API: путь шлюза, формат ошибок, версия</w:t>
      </w:r>
    </w:p>
    <w:p>
      <w:r>
        <w:rPr>
          <w:b/>
        </w:rPr>
        <w:t xml:space="preserve">Откуда: </w:t>
      </w:r>
      <w:r>
        <w:t>[КОД] gateway-main (application.yml): для каждого сервиса правило Path=/api/&lt;сервис&gt;/** с RewritePath=/api/&lt;сервис&gt;/(?&lt;segment&gt;.*), /${segment} — префикс отбрасывается вместе с именем сервиса (/api/tariffs/calculate → /calculate). По тому же шаблону /api/favorite-routes/{id} попал бы в сервис как /{id}, а не /favorite-routes/{id} (пути карточки TRANSPORT-45586 — без префикса). [КОД] Формат ошибок ExceptionBody (transport_core) принят в сервисах заявок и корпоративном; в других (например, vehicle) используется ProblemDetail. [СТЕНД] Формат страницы подтверждён на стенде (08.10): POST /api/tariffs/search возвращает Spring Page (content, pageable, totalElements, totalPages, number, size, first, last), страницы нумеруются с нуля; параметры страницы в наблюдавшихся запросах идут в строке запроса (size=50&amp;page=0) или в теле POST (page: {pageNumber, pageSize}), фильтры - в теле POST. Формат страницы вопросом не является (вместо items в карточке используется content). [ПОДТВЕРЖДЕНО КОДОМ] Все маршруты шлюза устроены одинаково: Path=/api/&lt;ресурс&gt;/** с RewritePath, префикс срезается всегда; ни одного маршрута, сохраняющего префикс, нет, поэтому вариант A станет первым таким правилом.</w:t>
      </w:r>
    </w:p>
    <w:p>
      <w:r>
        <w:rPr>
          <w:b/>
        </w:rPr>
        <w:t xml:space="preserve">Суть: </w:t>
      </w:r>
      <w:r>
        <w:t>Подтвердить внешний путь и правило преобразования шлюзом, формат тела ошибки, политику версий API и предел размера страницы списка.</w:t>
      </w:r>
    </w:p>
    <w:p>
      <w:r>
        <w:rPr>
          <w:b/>
        </w:rPr>
        <w:t>Варианты:</w:t>
      </w:r>
    </w:p>
    <w:p>
      <w:pPr>
        <w:pStyle w:val="ListBullet"/>
      </w:pPr>
      <w:r>
        <w:t>A. Внешний /api/favorite-routes, внутренний /favorite-routes (отдельное правило RewritePath=/api/(?&lt;segment&gt;.*), /${segment}); ExceptionBody.</w:t>
      </w:r>
    </w:p>
    <w:p>
      <w:pPr>
        <w:pStyle w:val="ListBullet"/>
      </w:pPr>
      <w:r>
        <w:t>B. Внешний /api/favorite-routes, внутренний /{путь} по шаблону остальных сервисов (карточка меняется); ExceptionBody.</w:t>
      </w:r>
    </w:p>
    <w:p>
      <w:pPr>
        <w:pStyle w:val="ListBullet"/>
      </w:pPr>
      <w:r>
        <w:t>C. Собственный формат ошибок.</w:t>
      </w:r>
    </w:p>
    <w:p>
      <w:r>
        <w:rPr>
          <w:b/>
        </w:rPr>
        <w:t xml:space="preserve">Рекомендация: </w:t>
      </w:r>
      <w:r>
        <w:t>A: пути карточки сохраняются, формат ошибок единообразен с платформой; предел размера страницы определяет архитектор.</w:t>
      </w:r>
    </w:p>
    <w:p>
      <w:r>
        <w:rPr>
          <w:b/>
        </w:rPr>
        <w:t xml:space="preserve">Примечание: </w:t>
      </w:r>
      <w:r>
        <w:t>Вариант A требует нового правила в конфигурации шлюза, прецедента в платформе нет, а конфигурацию шлюза мы сами не меняем. Приоритет высокий: от ответа зависят все пути раздела 2 T01.2.</w:t>
      </w:r>
    </w:p>
    <w:p>
      <w:pPr>
        <w:pStyle w:val="Heading1"/>
      </w:pPr>
      <w:r>
        <w:t>Приложение. Решено по умолчанию, отложено или снято, повторно не задаётся</w:t>
      </w:r>
    </w:p>
    <w:p>
      <w:r>
        <w:t>Предложения с пометкой «согласовать с архитектором» записаны в T01.1 и передаются в T01.2; архитектор рассмотрит их при согласовании документов. «Вопрос N» без уточнения - номер в списке по T01.2.</w:t>
      </w:r>
    </w:p>
    <w:tbl>
      <w:tblPr>
        <w:tblStyle w:val="TableGrid"/>
        <w:tblW w:type="auto" w:w="0"/>
        <w:tblLook w:firstColumn="1" w:firstRow="1" w:lastColumn="0" w:lastRow="0" w:noHBand="0" w:noVBand="1" w:val="04A0"/>
      </w:tblPr>
      <w:tblGrid>
        <w:gridCol w:w="3324"/>
        <w:gridCol w:w="3324"/>
        <w:gridCol w:w="3324"/>
      </w:tblGrid>
      <w:tr>
        <w:tc>
          <w:tcPr>
            <w:tcW w:type="dxa" w:w="2551"/>
          </w:tcPr>
          <w:p>
            <w:r/>
            <w:r>
              <w:rPr>
                <w:b/>
              </w:rPr>
              <w:t>Тема (откуда вопрос)</w:t>
            </w:r>
          </w:p>
        </w:tc>
        <w:tc>
          <w:tcPr>
            <w:tcW w:type="dxa" w:w="5386"/>
          </w:tcPr>
          <w:p>
            <w:r/>
            <w:r>
              <w:rPr>
                <w:b/>
              </w:rPr>
              <w:t>Решение</w:t>
            </w:r>
          </w:p>
        </w:tc>
        <w:tc>
          <w:tcPr>
            <w:tcW w:type="dxa" w:w="1984"/>
          </w:tcPr>
          <w:p>
            <w:r/>
            <w:r>
              <w:rPr>
                <w:b/>
              </w:rPr>
              <w:t>Основание</w:t>
            </w:r>
          </w:p>
        </w:tc>
      </w:tr>
      <w:tr>
        <w:tc>
          <w:tcPr>
            <w:tcW w:type="dxa" w:w="2551"/>
          </w:tcPr>
          <w:p>
            <w:r>
              <w:t>Расчёт рекомендуемой цены: пересчёт, условная дата, коэффициенты (ред. 17, вопрос 2)</w:t>
            </w:r>
          </w:p>
        </w:tc>
        <w:tc>
          <w:tcPr>
            <w:tcW w:type="dxa" w:w="5386"/>
          </w:tcPr>
          <w:p>
            <w:r>
              <w:t>Сервер всегда пересчитывает при сохранении; цена считается на условную дату (будний день в полдень, ночной тариф - 23:00, часовой пояс региона первой точки; для трансфера - текущая дата создания); временные коэффициенты не учитываются, цена - ориентир; подпись и хеш предрасчёта не вводятся.</w:t>
            </w:r>
          </w:p>
        </w:tc>
        <w:tc>
          <w:tcPr>
            <w:tcW w:type="dxa" w:w="1984"/>
          </w:tcPr>
          <w:p>
            <w:r>
              <w:t>T01.1, D12; заказчик 08.10 (15:26–15:45)</w:t>
            </w:r>
          </w:p>
        </w:tc>
      </w:tr>
      <w:tr>
        <w:tc>
          <w:tcPr>
            <w:tcW w:type="dxa" w:w="2551"/>
          </w:tcPr>
          <w:p>
            <w:r>
              <w:t>Название точки (ред. 17, вопрос 3)</w:t>
            </w:r>
          </w:p>
        </w:tc>
        <w:tc>
          <w:tcPr>
            <w:tcW w:type="dxa" w:w="5386"/>
          </w:tcPr>
          <w:p>
            <w:r>
              <w:t>name хранится только в справочнике и виджете; в заявку и диспетчеру не передаётся (диспетчер получает адрес строкой). Нужно ли название диспетчеру, знают интеграторы; изменение контракта заявки - T04.1.</w:t>
            </w:r>
          </w:p>
        </w:tc>
        <w:tc>
          <w:tcPr>
            <w:tcW w:type="dxa" w:w="1984"/>
          </w:tcPr>
          <w:p>
            <w:r>
              <w:t>T01.1, D01, D05</w:t>
            </w:r>
          </w:p>
        </w:tc>
      </w:tr>
      <w:tr>
        <w:tc>
          <w:tcPr>
            <w:tcW w:type="dxa" w:w="2551"/>
          </w:tcPr>
          <w:p>
            <w:r>
              <w:t>Отсутствующее ожидание, антифрод, лимит многоточечных (ред. 17, вопрос 4)</w:t>
            </w:r>
          </w:p>
        </w:tc>
        <w:tc>
          <w:tcPr>
            <w:tcW w:type="dxa" w:w="5386"/>
          </w:tcPr>
          <w:p>
            <w:r>
              <w:t>Отсутствующее ожидание передаётся как 0; проверки TAXI_WAITING_TIME и лимит многоточечных заявок пропускаются по признаку связи заявки с маршрутом (favorite_route_id не пуст), после снятия связи применяются как обычно. Реализация - T04.1.</w:t>
            </w:r>
          </w:p>
        </w:tc>
        <w:tc>
          <w:tcPr>
            <w:tcW w:type="dxa" w:w="1984"/>
          </w:tcPr>
          <w:p>
            <w:r>
              <w:t>T01.1, раздел 5; заказчик 08.10 (09:58–10:36)</w:t>
            </w:r>
          </w:p>
        </w:tc>
      </w:tr>
      <w:tr>
        <w:tc>
          <w:tcPr>
            <w:tcW w:type="dxa" w:w="2551"/>
          </w:tcPr>
          <w:p>
            <w:r>
              <w:t>Права доступа (вопрос 14 списка по T01.2; ред. 17, вопрос 7)</w:t>
            </w:r>
          </w:p>
        </w:tc>
        <w:tc>
          <w:tcPr>
            <w:tcW w:type="dxa" w:w="5386"/>
          </w:tcPr>
          <w:p>
            <w:r>
              <w:t>Доступ у любого авторизованного пользователя корпоративного кабинета; новая роль «Управляющий справочниками» не вводится. Пары «метод + URL → роль» хранит сам стартер role_check_starter в схеме сервиса: таблицы urls и roles создаёт стартер, регистрация - стандартным методом PUT /allow сервиса; к сервису ролей за этим обращаться не нужно. Какие роли допущены на стенде - проверка T01.4. Чужая запись - 404.</w:t>
            </w:r>
          </w:p>
        </w:tc>
        <w:tc>
          <w:tcPr>
            <w:tcW w:type="dxa" w:w="1984"/>
          </w:tcPr>
          <w:p>
            <w:r>
              <w:t>[КОД] role_check_starter (DatabaseRolesMigration, UrlRoleRepositoryImpl, UrlEndpointAllowController); протокол 10.09, п. 10</w:t>
            </w:r>
          </w:p>
        </w:tc>
      </w:tr>
      <w:tr>
        <w:tc>
          <w:tcPr>
            <w:tcW w:type="dxa" w:w="2551"/>
          </w:tcPr>
          <w:p>
            <w:r>
              <w:t>Методы изменения и деактивации (вопрос 15)</w:t>
            </w:r>
          </w:p>
        </w:tc>
        <w:tc>
          <w:tcPr>
            <w:tcW w:type="dxa" w:w="5386"/>
          </w:tcPr>
          <w:p>
            <w:r>
              <w:t>Изменение - PUT с version в теле; деактивация - DELETE ?version=n. Карточку TRANSPORT-45586 дополнить методом PUT. Прецеденты в платформе есть в обе стороны (PATCH используется, в том числе для деактивации в vehicle); передачи версии через If-Match или параметр в платформе нет, вариант станет первым.</w:t>
            </w:r>
          </w:p>
        </w:tc>
        <w:tc>
          <w:tcPr>
            <w:tcW w:type="dxa" w:w="1984"/>
          </w:tcPr>
          <w:p>
            <w:r>
              <w:t>T01.2; [КОД]</w:t>
            </w:r>
          </w:p>
        </w:tc>
      </w:tr>
      <w:tr>
        <w:tc>
          <w:tcPr>
            <w:tcW w:type="dxa" w:w="2551"/>
          </w:tcPr>
          <w:p>
            <w:r>
              <w:t>Семантика PUT (вопрос 16)</w:t>
            </w:r>
          </w:p>
        </w:tc>
        <w:tc>
          <w:tcPr>
            <w:tcW w:type="dxa" w:w="5386"/>
          </w:tcPr>
          <w:p>
            <w:r>
              <w:t>Пропущенное необязательное поле очищает значение; неизвестные и серверные поля во входном запросе игнорируются (FAIL_ON_UNKNOWN_PROPERTIES нигде не включён); organizationId при несовпадении с организацией пользователя - 403; сохранение без изменений не меняет version и updatedAt. Исключение: tariffId - входное поле (тариф, выбранный пользователем), сервер проверяет, что он входит в список подходящих, и пересчитывает цену.</w:t>
            </w:r>
          </w:p>
        </w:tc>
        <w:tc>
          <w:tcPr>
            <w:tcW w:type="dxa" w:w="1984"/>
          </w:tcPr>
          <w:p>
            <w:r>
              <w:t>T01.2; [КОД]; T01.1, D07</w:t>
            </w:r>
          </w:p>
        </w:tc>
      </w:tr>
      <w:tr>
        <w:tc>
          <w:tcPr>
            <w:tcW w:type="dxa" w:w="2551"/>
          </w:tcPr>
          <w:p>
            <w:r>
              <w:t>Состояния записи и повторный DELETE (вопрос 17)</w:t>
            </w:r>
          </w:p>
        </w:tc>
        <w:tc>
          <w:tcPr>
            <w:tcW w:type="dxa" w:w="5386"/>
          </w:tcPr>
          <w:p>
            <w:r>
              <w:t>Вычисляемое поле status (ACTIVE, EXPIRED); изменение удалённой или истёкшей записи - 409; повторный DELETE - 204 без проверки версии и без новой записи в историю; порядок проверок: 404, «уже удалена» → 204, версия → 409, активные заявки → 409.</w:t>
            </w:r>
          </w:p>
        </w:tc>
        <w:tc>
          <w:tcPr>
            <w:tcW w:type="dxa" w:w="1984"/>
          </w:tcPr>
          <w:p>
            <w:r>
              <w:t>T01.2; T01.1, D14, раздел 6</w:t>
            </w:r>
          </w:p>
        </w:tc>
      </w:tr>
      <w:tr>
        <w:tc>
          <w:tcPr>
            <w:tcW w:type="dxa" w:w="2551"/>
          </w:tcPr>
          <w:p>
            <w:r>
              <w:t>Предрасчёт и список тарифов для формы (вопрос 18)</w:t>
            </w:r>
          </w:p>
        </w:tc>
        <w:tc>
          <w:tcPr>
            <w:tcW w:type="dxa" w:w="5386"/>
          </w:tcPr>
          <w:p>
            <w:r>
              <w:t>Два метода сервиса маршрутов без сохранения: список тарифов с ценами для выбора и предрасчёт; форма не обращается к geo и сервису тарифов напрямую, потому что выбор тарифа требует цепочки зон и отбора на стороне сервиса маршрутов; при отличии значений при сохранении показываются сохранённые.</w:t>
            </w:r>
          </w:p>
        </w:tc>
        <w:tc>
          <w:tcPr>
            <w:tcW w:type="dxa" w:w="1984"/>
          </w:tcPr>
          <w:p>
            <w:r>
              <w:t>T01.1, D07, D12; решение заказчика 08.10 о ручном выборе тарифа</w:t>
            </w:r>
          </w:p>
        </w:tc>
      </w:tr>
      <w:tr>
        <w:tc>
          <w:tcPr>
            <w:tcW w:type="dxa" w:w="2551"/>
          </w:tcPr>
          <w:p>
            <w:r>
              <w:t>Идемпотентность POST (вопрос 19)</w:t>
            </w:r>
          </w:p>
        </w:tc>
        <w:tc>
          <w:tcPr>
            <w:tcW w:type="dxa" w:w="5386"/>
          </w:tcPr>
          <w:p>
            <w:r>
              <w:t>Без Idempotency-Key (в платформе механизма нет); защита от конкурентного дубля - проверка в транзакции с блокировкой по организации или уникальный индекс по хешу ключа сравнения. Критерий дубля подтверждён заказчиком 08.10.</w:t>
            </w:r>
          </w:p>
        </w:tc>
        <w:tc>
          <w:tcPr>
            <w:tcW w:type="dxa" w:w="1984"/>
          </w:tcPr>
          <w:p>
            <w:r>
              <w:t>T01.2; [КОД]</w:t>
            </w:r>
          </w:p>
        </w:tc>
      </w:tr>
      <w:tr>
        <w:tc>
          <w:tcPr>
            <w:tcW w:type="dxa" w:w="2551"/>
          </w:tcPr>
          <w:p>
            <w:r>
              <w:t>Ошибки geo и тарифа при сохранении (вопрос 23)</w:t>
            </w:r>
          </w:p>
        </w:tc>
        <w:tc>
          <w:tcPr>
            <w:tcW w:type="dxa" w:w="5386"/>
          </w:tcPr>
          <w:p>
            <w:r>
              <w:t>Geo отвечает 417 на любую ошибку провайдера, в том числе «адрес не найден», и причины не различает (код 404 виден только в логе geo). Пока все 417 отдаются наружу как 422 с текстом провайдера (пользователю: уточните точки; точку по номеру не указываем); недоступность и таймаут geo или сервиса тарифов - 502 и 504. Повторов нет, транзакция не начинается до получения расчёта. 417 пишется в лог уровнем WARN для мониторинга сбоев провайдера. Целевое решение: просьба владельцу geo возвращать разные коды. Таймаут - по замеру T01.4.</w:t>
            </w:r>
          </w:p>
        </w:tc>
        <w:tc>
          <w:tcPr>
            <w:tcW w:type="dxa" w:w="1984"/>
          </w:tcPr>
          <w:p>
            <w:r>
              <w:t>[КОД] geo-main, ControllerExceptionHandler</w:t>
            </w:r>
          </w:p>
        </w:tc>
      </w:tr>
      <w:tr>
        <w:tc>
          <w:tcPr>
            <w:tcW w:type="dxa" w:w="2551"/>
          </w:tcPr>
          <w:p>
            <w:r>
              <w:t>Территория тарифа и даты тарифа (вопрос 26)</w:t>
            </w:r>
          </w:p>
        </w:tc>
        <w:tc>
          <w:tcPr>
            <w:tcW w:type="dxa" w:w="5386"/>
          </w:tcPr>
          <w:p>
            <w:r>
              <w:t>Территория - цепочка геозон по полям адреса первой точки (RegionDataResolverImpl, geo-zones regionBranch). При ручном вводе координат адрес определяет клиент по координатам, как в обычной заявке (радиус задаёт клиент: при клике по карте передаётся 50, geo передаёт его провайдеру); если адрес не найден, точка не принимается. Для такси проверяется «тариф и договор действуют сейчас» (флаги); срок договора не проверяется, как и в штатном расчёте (на стенде договоры с истёкшим сроком остаются «Активный»). Даты тарифа: для обычного группового трансфера штатный расчёт их не фильтрует, поэтому проверку по датам тарифа включительно выполняет сам сервис маршрутов; для TRANSFER_CAR_CHOICE расчёт сам фильтрует по дате поездки включительно.</w:t>
            </w:r>
          </w:p>
        </w:tc>
        <w:tc>
          <w:tcPr>
            <w:tcW w:type="dxa" w:w="1984"/>
          </w:tcPr>
          <w:p>
            <w:r>
              <w:t>T01.1, D01, D07, D14; заказчик 08.10; [КОД] DIGeo.store.ts, GeoServiceClientImpl, CalculateServiceImpl, GroupTransferTariffRepository; [СТЕНД]</w:t>
            </w:r>
          </w:p>
        </w:tc>
      </w:tr>
      <w:tr>
        <w:tc>
          <w:tcPr>
            <w:tcW w:type="dxa" w:w="2551"/>
          </w:tcPr>
          <w:p>
            <w:r>
              <w:t>Перечень тарифов для выбора (вопросы 25, 27, 28, 29 списка по T01.2)</w:t>
            </w:r>
          </w:p>
        </w:tc>
        <w:tc>
          <w:tcPr>
            <w:tcW w:type="dxa" w:w="5386"/>
          </w:tcPr>
          <w:p>
            <w:r>
              <w:t>Ответ заказчика 09.10: только корпоративные (договорные) тарифы организации. Схема: цепочка геозон, POST search с фильтром по классу, расчёт по найденному tariffId; сервис тарифов не меняется. Несколько тарифов одного класса от разных договоров - пользователь выбирает один вручную. В записи хранятся tariffId (UUID) и человекочитаемый номер тарифа (TF-…); поле provider и расчёт внешних цен не нужны.</w:t>
            </w:r>
          </w:p>
        </w:tc>
        <w:tc>
          <w:tcPr>
            <w:tcW w:type="dxa" w:w="1984"/>
          </w:tcPr>
          <w:p>
            <w:r>
              <w:t>T01.1, D07; заказчик 08.10 (16:59–20:37) и 09.10</w:t>
            </w:r>
          </w:p>
        </w:tc>
      </w:tr>
      <w:tr>
        <w:tc>
          <w:tcPr>
            <w:tcW w:type="dxa" w:w="2551"/>
          </w:tcPr>
          <w:p>
            <w:r>
              <w:t>Число вызовов тарифов и кэш (вопрос 21)</w:t>
            </w:r>
          </w:p>
        </w:tc>
        <w:tc>
          <w:tcPr>
            <w:tcW w:type="dxa" w:w="5386"/>
          </w:tcPr>
          <w:p>
            <w:r>
              <w:t>Отложено: без собственного кэша, решение по замеру времени ответа в T01.4 (около 15–20 вызовов на открытие списка выбора).</w:t>
            </w:r>
          </w:p>
        </w:tc>
        <w:tc>
          <w:tcPr>
            <w:tcW w:type="dxa" w:w="1984"/>
          </w:tcPr>
          <w:p>
            <w:r>
              <w:t>T01.1, D07</w:t>
            </w:r>
          </w:p>
        </w:tc>
      </w:tr>
      <w:tr>
        <w:tc>
          <w:tcPr>
            <w:tcW w:type="dxa" w:w="2551"/>
          </w:tcPr>
          <w:p>
            <w:r>
              <w:t>Массовый импорт (вопрос 22)</w:t>
            </w:r>
          </w:p>
        </w:tc>
        <w:tc>
          <w:tcPr>
            <w:tcW w:type="dxa" w:w="5386"/>
          </w:tcPr>
          <w:p>
            <w:r>
              <w:t>Синхронный POST с файлом; каждая строка проходит те же проверки и расчёт, что при создании; при любой ошибке файл отклоняется целиком, перечень ошибок по строкам (ответ заказчика 08.10). Строить на общей библиотеке таблиц ru.sber.transport.excel с построчной валидацией (образец - импорт тарифов); асинхронная задача - если по замеру T01.4 время обработки окажется неприемлемым.</w:t>
            </w:r>
          </w:p>
        </w:tc>
        <w:tc>
          <w:tcPr>
            <w:tcW w:type="dxa" w:w="1984"/>
          </w:tcPr>
          <w:p>
            <w:r>
              <w:t>T01.2; [КОД] excel-main, tariff-main</w:t>
            </w:r>
          </w:p>
        </w:tc>
      </w:tr>
      <w:tr>
        <w:tc>
          <w:tcPr>
            <w:tcW w:type="dxa" w:w="2551"/>
          </w:tcPr>
          <w:p>
            <w:r>
              <w:t>Решено ранее и повторно не задаётся</w:t>
            </w:r>
          </w:p>
        </w:tc>
        <w:tc>
          <w:tcPr>
            <w:tcW w:type="dxa" w:w="5386"/>
          </w:tcPr>
          <w:p>
            <w:r>
              <w:t>Граница сервиса (отдельный сервис, существующие меняются только в объёме T04.1 и T01.4); типы и ограничения полей; число точек 2–26; правило определения тарифа по параметрам, tariff_id - снимок для реестров; номер маршрута библиотекой human-readable-generator; состав активных статусов заявки (нетерминальные); доступ search ограничен организацией вызывающего; классы по должности у сотрудника, оформляющего заказ, не ограничиваются; класс TRANSFER_CAR_CHOICE: recommended_cost и tariff_id обязательны; по умолчанию берутся по автомобилю с минимальной ценой среди доступных на дату создания (тариф находится без автомобиля, а цена считается по автомобилям; если доступных нет, маршрут не сохраняется); нужен ли сам класс - уточняет заказчик.</w:t>
            </w:r>
          </w:p>
        </w:tc>
        <w:tc>
          <w:tcPr>
            <w:tcW w:type="dxa" w:w="1984"/>
          </w:tcPr>
          <w:p>
            <w:r>
              <w:t>T01.1; журнал решений</w:t>
            </w:r>
          </w:p>
        </w:tc>
      </w:tr>
    </w:tbl>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