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 xml:space="preserve">Версия от 09.10.2026 </w:t>
      </w:r>
      <w:r>
        <w:rPr>
          <w:color w:val="C00000"/>
        </w:rPr>
        <w:t>(двадцать первая</w:t>
      </w:r>
      <w:r>
        <w:t xml:space="preserve">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 сравнению с </w:t>
      </w:r>
      <w:r>
        <w:rPr>
          <w:color w:val="C00000"/>
        </w:rPr>
        <w:t>двадцатой</w:t>
      </w:r>
      <w:r>
        <w:t xml:space="preserve"> редакцией </w:t>
      </w:r>
      <w:r>
        <w:rPr>
          <w:color w:val="C00000"/>
        </w:rPr>
        <w:t>из вопроса 1 убрана справка об отсутствии поля избранного маршрута в сервисе заявок (поле появится в T04.1).</w:t>
      </w:r>
      <w:r>
        <w:t xml:space="preserve">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при недоступности проверки деактивация отклоняется (500/503), а не выполняется.</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Pr>
                <w:color w:val="C00000"/>
              </w:rPr>
            </w:r>
            <w:r>
              <w:rPr>
                <w:b/>
                <w:color w:val="C00000"/>
              </w:rPr>
              <w:t>Тема (откуда вопрос)</w:t>
            </w:r>
          </w:p>
        </w:tc>
        <w:tc>
          <w:tcPr>
            <w:tcW w:type="dxa" w:w="5386"/>
          </w:tcPr>
          <w:p>
            <w:r>
              <w:rPr>
                <w:color w:val="C00000"/>
              </w:rPr>
            </w:r>
            <w:r>
              <w:rPr>
                <w:b/>
                <w:color w:val="C00000"/>
              </w:rPr>
              <w:t>Решение</w:t>
            </w:r>
          </w:p>
        </w:tc>
        <w:tc>
          <w:tcPr>
            <w:tcW w:type="dxa" w:w="1984"/>
          </w:tcPr>
          <w:p>
            <w:r>
              <w:rPr>
                <w:color w:val="C00000"/>
              </w:rPr>
            </w:r>
            <w:r>
              <w:rPr>
                <w:b/>
                <w:color w:val="C00000"/>
              </w:rPr>
              <w:t>Основание</w:t>
            </w:r>
          </w:p>
        </w:tc>
      </w:tr>
      <w:tr>
        <w:tc>
          <w:tcPr>
            <w:tcW w:type="dxa" w:w="2551"/>
          </w:tcPr>
          <w:p>
            <w:r>
              <w:rPr>
                <w:color w:val="C00000"/>
              </w:rPr>
              <w:t>Расчёт рекомендуемой цены: пересчёт, условная дата, коэффициенты (ред. 17, вопрос 2)</w:t>
            </w:r>
          </w:p>
        </w:tc>
        <w:tc>
          <w:tcPr>
            <w:tcW w:type="dxa" w:w="5386"/>
          </w:tcPr>
          <w:p>
            <w:r>
              <w:rPr>
                <w:color w:val="C00000"/>
              </w:rPr>
              <w:t>Сервер всегда пересчитывает при сохранении; цена считается на условную дату (будний день в полдень, ночной тариф - 23:00, часовой пояс региона первой точки; для трансфера - текущая дата создания); временные коэффициенты не учитываются, цена - ориентир; подпись и хеш предрасчёта не вводятся.</w:t>
            </w:r>
          </w:p>
        </w:tc>
        <w:tc>
          <w:tcPr>
            <w:tcW w:type="dxa" w:w="1984"/>
          </w:tcPr>
          <w:p>
            <w:r>
              <w:rPr>
                <w:color w:val="C00000"/>
              </w:rPr>
              <w:t>T01.1, D12; заказчик 08.10 (15:26–15:45)</w:t>
            </w:r>
          </w:p>
        </w:tc>
      </w:tr>
      <w:tr>
        <w:tc>
          <w:tcPr>
            <w:tcW w:type="dxa" w:w="2551"/>
          </w:tcPr>
          <w:p>
            <w:r>
              <w:rPr>
                <w:color w:val="C00000"/>
              </w:rPr>
              <w:t>Название точки (ред. 17, вопрос 3)</w:t>
            </w:r>
          </w:p>
        </w:tc>
        <w:tc>
          <w:tcPr>
            <w:tcW w:type="dxa" w:w="5386"/>
          </w:tcPr>
          <w:p>
            <w:r>
              <w:rPr>
                <w:color w:val="C00000"/>
              </w:rP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rPr>
                <w:color w:val="C00000"/>
              </w:rPr>
              <w:t>T01.1, D01, D05</w:t>
            </w:r>
          </w:p>
        </w:tc>
      </w:tr>
      <w:tr>
        <w:tc>
          <w:tcPr>
            <w:tcW w:type="dxa" w:w="2551"/>
          </w:tcPr>
          <w:p>
            <w:r>
              <w:rPr>
                <w:color w:val="C00000"/>
              </w:rPr>
              <w:t>Отсутствующее ожидание, антифрод, лимит многоточечных (ред. 17, вопрос 4)</w:t>
            </w:r>
          </w:p>
        </w:tc>
        <w:tc>
          <w:tcPr>
            <w:tcW w:type="dxa" w:w="5386"/>
          </w:tcPr>
          <w:p>
            <w:r>
              <w:rPr>
                <w:color w:val="C00000"/>
              </w:rPr>
              <w:t>Отсутствующее ожидание передаётся как 0; проверки TAXI_WAITING_TIME и лимит многоточечных заявок пропускаются по признаку связи заявки с маршрутом (favorite_route_id не пуст), после снятия связи применяются как обычно. Реализация - T04.1.</w:t>
            </w:r>
          </w:p>
        </w:tc>
        <w:tc>
          <w:tcPr>
            <w:tcW w:type="dxa" w:w="1984"/>
          </w:tcPr>
          <w:p>
            <w:r>
              <w:rPr>
                <w:color w:val="C00000"/>
              </w:rPr>
              <w:t>T01.1, раздел 5; заказчик 08.10 (09:58–10:36)</w:t>
            </w:r>
          </w:p>
        </w:tc>
      </w:tr>
      <w:tr>
        <w:tc>
          <w:tcPr>
            <w:tcW w:type="dxa" w:w="2551"/>
          </w:tcPr>
          <w:p>
            <w:r>
              <w:rPr>
                <w:color w:val="C00000"/>
              </w:rPr>
              <w:t>Права доступа (вопрос 14 списка по T01.2; ред. 17, вопрос 7)</w:t>
            </w:r>
          </w:p>
        </w:tc>
        <w:tc>
          <w:tcPr>
            <w:tcW w:type="dxa" w:w="5386"/>
          </w:tcPr>
          <w:p>
            <w:r>
              <w:rPr>
                <w:color w:val="C00000"/>
              </w:rP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rPr>
                <w:color w:val="C00000"/>
              </w:rPr>
              <w:t>[КОД] role_check_starter (DatabaseRolesMigration, UrlRoleRepositoryImpl, UrlEndpointAllowController); протокол 10.09, п. 10</w:t>
            </w:r>
          </w:p>
        </w:tc>
      </w:tr>
      <w:tr>
        <w:tc>
          <w:tcPr>
            <w:tcW w:type="dxa" w:w="2551"/>
          </w:tcPr>
          <w:p>
            <w:r>
              <w:rPr>
                <w:color w:val="C00000"/>
              </w:rPr>
              <w:t>Методы изменения и деактивации (вопрос 15)</w:t>
            </w:r>
          </w:p>
        </w:tc>
        <w:tc>
          <w:tcPr>
            <w:tcW w:type="dxa" w:w="5386"/>
          </w:tcPr>
          <w:p>
            <w:r>
              <w:rPr>
                <w:color w:val="C00000"/>
              </w:rP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rPr>
                <w:color w:val="C00000"/>
              </w:rPr>
              <w:t>T01.2; [КОД]</w:t>
            </w:r>
          </w:p>
        </w:tc>
      </w:tr>
      <w:tr>
        <w:tc>
          <w:tcPr>
            <w:tcW w:type="dxa" w:w="2551"/>
          </w:tcPr>
          <w:p>
            <w:r>
              <w:rPr>
                <w:color w:val="C00000"/>
              </w:rPr>
              <w:t>Семантика PUT (вопрос 16)</w:t>
            </w:r>
          </w:p>
        </w:tc>
        <w:tc>
          <w:tcPr>
            <w:tcW w:type="dxa" w:w="5386"/>
          </w:tcPr>
          <w:p>
            <w:r>
              <w:rPr>
                <w:color w:val="C00000"/>
              </w:rP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rPr>
                <w:color w:val="C00000"/>
              </w:rPr>
              <w:t>T01.2; [КОД]; T01.1, D07</w:t>
            </w:r>
          </w:p>
        </w:tc>
      </w:tr>
      <w:tr>
        <w:tc>
          <w:tcPr>
            <w:tcW w:type="dxa" w:w="2551"/>
          </w:tcPr>
          <w:p>
            <w:r>
              <w:rPr>
                <w:color w:val="C00000"/>
              </w:rPr>
              <w:t>Состояния записи и повторный DELETE (вопрос 17)</w:t>
            </w:r>
          </w:p>
        </w:tc>
        <w:tc>
          <w:tcPr>
            <w:tcW w:type="dxa" w:w="5386"/>
          </w:tcPr>
          <w:p>
            <w:r>
              <w:rPr>
                <w:color w:val="C00000"/>
              </w:rP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rPr>
                <w:color w:val="C00000"/>
              </w:rPr>
              <w:t>T01.2; T01.1, D14, раздел 6</w:t>
            </w:r>
          </w:p>
        </w:tc>
      </w:tr>
      <w:tr>
        <w:tc>
          <w:tcPr>
            <w:tcW w:type="dxa" w:w="2551"/>
          </w:tcPr>
          <w:p>
            <w:r>
              <w:rPr>
                <w:color w:val="C00000"/>
              </w:rPr>
              <w:t>Предрасчёт и список тарифов для формы (вопрос 18)</w:t>
            </w:r>
          </w:p>
        </w:tc>
        <w:tc>
          <w:tcPr>
            <w:tcW w:type="dxa" w:w="5386"/>
          </w:tcPr>
          <w:p>
            <w:r>
              <w:rPr>
                <w:color w:val="C00000"/>
              </w:rP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rPr>
                <w:color w:val="C00000"/>
              </w:rPr>
              <w:t>T01.1, D07, D12; решение заказчика 08.10 о ручном выборе тарифа</w:t>
            </w:r>
          </w:p>
        </w:tc>
      </w:tr>
      <w:tr>
        <w:tc>
          <w:tcPr>
            <w:tcW w:type="dxa" w:w="2551"/>
          </w:tcPr>
          <w:p>
            <w:r>
              <w:rPr>
                <w:color w:val="C00000"/>
              </w:rPr>
              <w:t>Идемпотентность POST (вопрос 19)</w:t>
            </w:r>
          </w:p>
        </w:tc>
        <w:tc>
          <w:tcPr>
            <w:tcW w:type="dxa" w:w="5386"/>
          </w:tcPr>
          <w:p>
            <w:r>
              <w:rPr>
                <w:color w:val="C00000"/>
              </w:rPr>
              <w:t>Без Idempotency-Key (в платформе механизма нет); защита от конкурентного дубля - проверка в транзакции с блокировкой по организации или уникальный индекс по хешу ключа сравнения. Критерий дубля подтверждён заказчиком 08.10.</w:t>
            </w:r>
          </w:p>
        </w:tc>
        <w:tc>
          <w:tcPr>
            <w:tcW w:type="dxa" w:w="1984"/>
          </w:tcPr>
          <w:p>
            <w:r>
              <w:rPr>
                <w:color w:val="C00000"/>
              </w:rPr>
              <w:t>T01.2; [КОД]</w:t>
            </w:r>
          </w:p>
        </w:tc>
      </w:tr>
      <w:tr>
        <w:tc>
          <w:tcPr>
            <w:tcW w:type="dxa" w:w="2551"/>
          </w:tcPr>
          <w:p>
            <w:r>
              <w:rPr>
                <w:color w:val="C00000"/>
              </w:rPr>
              <w:t>Ошибки geo и тарифа при сохранении (вопрос 23)</w:t>
            </w:r>
          </w:p>
        </w:tc>
        <w:tc>
          <w:tcPr>
            <w:tcW w:type="dxa" w:w="5386"/>
          </w:tcPr>
          <w:p>
            <w:r>
              <w:rPr>
                <w:color w:val="C00000"/>
              </w:rPr>
              <w:t>Geo отвечает 417 на любую ошибку провайдера, в том числе «адрес не найден», и причины не различает (код 404 виден только в логе geo). Пока все 417 отдаются наружу как 422 с текстом провайдера (пользователю: уточните точки; точку по номеру не указываем); недоступность и таймаут geo или сервиса тарифов - 502 и 504. Повторов нет, транзакция не начинается до получения расчёта. 417 пишется в лог уровнем WARN для мониторинга сбоев провайдера. Целевое решение: просьба владельцу geo возвращать разные коды. Таймаут - по замеру T01.4.</w:t>
            </w:r>
          </w:p>
        </w:tc>
        <w:tc>
          <w:tcPr>
            <w:tcW w:type="dxa" w:w="1984"/>
          </w:tcPr>
          <w:p>
            <w:r>
              <w:rPr>
                <w:color w:val="C00000"/>
              </w:rPr>
              <w:t>[КОД] geo-main, ControllerExceptionHandler</w:t>
            </w:r>
          </w:p>
        </w:tc>
      </w:tr>
      <w:tr>
        <w:tc>
          <w:tcPr>
            <w:tcW w:type="dxa" w:w="2551"/>
          </w:tcPr>
          <w:p>
            <w:r>
              <w:rPr>
                <w:color w:val="C00000"/>
              </w:rPr>
              <w:t>Территория тарифа и даты тарифа (вопрос 26)</w:t>
            </w:r>
          </w:p>
        </w:tc>
        <w:tc>
          <w:tcPr>
            <w:tcW w:type="dxa" w:w="5386"/>
          </w:tcPr>
          <w:p>
            <w:r>
              <w:rPr>
                <w:color w:val="C00000"/>
              </w:rPr>
              <w:t>Территория - цепочка геозон по полям адреса первой точки (RegionDataResolverImpl, geo-zones regionBranch). При ручном вводе координат адрес определяет клиент по координатам, как в обычной заявке (радиус задаёт клиент: при клике по карте передаётся 50, geo передаёт его провайдеру); если адрес не найден, точка не принимается. Для такси проверяется «тариф и договор действуют сейчас» (флаги); срок договора не проверяется, как и в штатном расчёте (на стенде договоры с истёкшим сроком остаются «Активный»). Даты тарифа: для обычного группового трансфера штатный расчёт их не фильтрует, поэтому проверку по датам тарифа включительно выполняет сам сервис маршрутов; для TRANSFER_CAR_CHOICE расчёт сам фильтрует по дате поездки включительно.</w:t>
            </w:r>
          </w:p>
        </w:tc>
        <w:tc>
          <w:tcPr>
            <w:tcW w:type="dxa" w:w="1984"/>
          </w:tcPr>
          <w:p>
            <w:r>
              <w:rPr>
                <w:color w:val="C00000"/>
              </w:rPr>
              <w:t>T01.1, D01, D07, D14; заказчик 08.10; [КОД] DIGeo.store.ts, GeoServiceClientImpl, CalculateServiceImpl, GroupTransferTariffRepository; [СТЕНД]</w:t>
            </w:r>
          </w:p>
        </w:tc>
      </w:tr>
      <w:tr>
        <w:tc>
          <w:tcPr>
            <w:tcW w:type="dxa" w:w="2551"/>
          </w:tcPr>
          <w:p>
            <w:r>
              <w:rPr>
                <w:color w:val="C00000"/>
              </w:rPr>
              <w:t>Перечень тарифов для выбора (вопросы 25, 27, 28, 29 списка по T01.2)</w:t>
            </w:r>
          </w:p>
        </w:tc>
        <w:tc>
          <w:tcPr>
            <w:tcW w:type="dxa" w:w="5386"/>
          </w:tcPr>
          <w:p>
            <w:r>
              <w:rPr>
                <w:color w:val="C00000"/>
              </w:rP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записи хранятся tariffId (UUID) и человекочитаемый номер тарифа (TF-…); поле provider и расчёт внешних цен не нужны.</w:t>
            </w:r>
          </w:p>
        </w:tc>
        <w:tc>
          <w:tcPr>
            <w:tcW w:type="dxa" w:w="1984"/>
          </w:tcPr>
          <w:p>
            <w:r>
              <w:rPr>
                <w:color w:val="C00000"/>
              </w:rPr>
              <w:t>T01.1, D07; заказчик 08.10 (16:59–20:37) и 09.10</w:t>
            </w:r>
          </w:p>
        </w:tc>
      </w:tr>
      <w:tr>
        <w:tc>
          <w:tcPr>
            <w:tcW w:type="dxa" w:w="2551"/>
          </w:tcPr>
          <w:p>
            <w:r>
              <w:rPr>
                <w:color w:val="C00000"/>
              </w:rPr>
              <w:t>Число вызовов тарифов и кэш (вопрос 21)</w:t>
            </w:r>
          </w:p>
        </w:tc>
        <w:tc>
          <w:tcPr>
            <w:tcW w:type="dxa" w:w="5386"/>
          </w:tcPr>
          <w:p>
            <w:r>
              <w:rPr>
                <w:color w:val="C00000"/>
              </w:rPr>
              <w:t>Отложено: без собственного кэша, решение по замеру времени ответа в T01.4 (около 15–20 вызовов на открытие списка выбора).</w:t>
            </w:r>
          </w:p>
        </w:tc>
        <w:tc>
          <w:tcPr>
            <w:tcW w:type="dxa" w:w="1984"/>
          </w:tcPr>
          <w:p>
            <w:r>
              <w:rPr>
                <w:color w:val="C00000"/>
              </w:rPr>
              <w:t>T01.1, D07</w:t>
            </w:r>
          </w:p>
        </w:tc>
      </w:tr>
      <w:tr>
        <w:tc>
          <w:tcPr>
            <w:tcW w:type="dxa" w:w="2551"/>
          </w:tcPr>
          <w:p>
            <w:r>
              <w:rPr>
                <w:color w:val="C00000"/>
              </w:rPr>
              <w:t>Массовый импорт (вопрос 22)</w:t>
            </w:r>
          </w:p>
        </w:tc>
        <w:tc>
          <w:tcPr>
            <w:tcW w:type="dxa" w:w="5386"/>
          </w:tcPr>
          <w:p>
            <w:r>
              <w:rPr>
                <w:color w:val="C00000"/>
              </w:rP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rPr>
                <w:color w:val="C00000"/>
              </w:rPr>
              <w:t>T01.2; [КОД] excel-main, tariff-main</w:t>
            </w:r>
          </w:p>
        </w:tc>
      </w:tr>
      <w:tr>
        <w:tc>
          <w:tcPr>
            <w:tcW w:type="dxa" w:w="2551"/>
          </w:tcPr>
          <w:p>
            <w:r>
              <w:rPr>
                <w:color w:val="C00000"/>
              </w:rPr>
              <w:t>Решено ранее и повторно не задаётся</w:t>
            </w:r>
          </w:p>
        </w:tc>
        <w:tc>
          <w:tcPr>
            <w:tcW w:type="dxa" w:w="5386"/>
          </w:tcPr>
          <w:p>
            <w:r>
              <w:rPr>
                <w:color w:val="C00000"/>
              </w:rPr>
              <w:t>Граница сервиса (отдельный сервис, существующие меняются только в объёме T04.1 и T01.4); типы и ограничения полей; число точек 2–26; правило определения тарифа по параметрам, tariff_id - снимок для реестров;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и tariff_id обязательны; по умолчанию берутся по автомобилю с минимальной ценой среди доступных на дату создания (тариф находится без автомобиля, а цена считается по автомобилям; если доступных нет, маршрут не сохраняется); нужен ли сам класс - уточняет заказчик.</w:t>
            </w:r>
          </w:p>
        </w:tc>
        <w:tc>
          <w:tcPr>
            <w:tcW w:type="dxa" w:w="1984"/>
          </w:tcPr>
          <w:p>
            <w:r>
              <w:rPr>
                <w:color w:val="C00000"/>
              </w:rP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