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DDL PostgreSQL</w:t>
      </w:r>
    </w:p>
    <w:p>
      <w:r>
        <w:t>[СОГЛАСОВАТЬ С АРХИТЕКТОРОМ] DDL ниже — черновик создания схемы нового сервиса, не готовая миграция для внедрения. В нём учтены предлагаемые решения: тип waypoints, типы и обязательность расчётных полей (D06), обязательность updated_by, версия записи (int8) для оптимистичной блокировки, история с номером версии (int8) и перечнем полей (D04), минимум 3 точки (D10), служебная таблица company_sq для номера маршрута (П2), индекс по организации (П6) и проверки неотрицательности расчётных полей (П19).</w:t>
      </w:r>
    </w:p>
    <w:p>
      <w:r>
        <w:t>sql</w:t>
      </w:r>
    </w:p>
    <w:p>
      <w:pPr>
        <w:spacing w:after="0" w:before="0"/>
      </w:pPr>
      <w:r>
        <w:rPr>
          <w:rFonts w:ascii="Consolas" w:hAnsi="Consolas"/>
          <w:sz w:val="16"/>
        </w:rPr>
        <w:t>-- Сервис избранных маршрутов — отдельная схема БД.</w:t>
      </w:r>
    </w:p>
    <w:p>
      <w:pPr>
        <w:spacing w:after="0" w:before="0"/>
      </w:pPr>
      <w:r>
        <w:rPr>
          <w:rFonts w:ascii="Consolas" w:hAnsi="Consolas"/>
          <w:sz w:val="16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6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jsonb предлагается вместо json из БТ §10.1 (согласует архитектор)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D06: расчётные значения обязательны,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Предложение (П19):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-- D10: максимум 10 подтверждён; минимум 3 (база, остановка, база) — согласовать с заказчиком.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THEN jsonb_array_length(waypoints) BETWEEN 3 AND 10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OR valid_from &lt;= valid_to)</w:t>
      </w:r>
    </w:p>
    <w:p>
      <w:pPr>
        <w:spacing w:after="0" w:before="0"/>
      </w:pPr>
      <w:r>
        <w:rPr>
          <w:rFonts w:ascii="Consolas" w:hAnsi="Consolas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'Точки по порядку: база (выезд), остановки с ожиданием, база (возврат). Элемент: country, region, latitude, longitude обязательны; city, street, house, building, structure необязательны; waitTime —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'Начало периода действия маршрута';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'Окончание периода действия маршрута';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'Пользователь, выполнивший последнее сохранение; при создании — автор';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-- Предложение (П6): основной запрос —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6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6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-- История изменений: EAV по БТ §10.2 с номером версии записи (D04).</w:t>
      </w:r>
    </w:p>
    <w:p>
      <w:pPr>
        <w:spacing w:after="0" w:before="0"/>
      </w:pPr>
      <w:r>
        <w:rPr>
          <w:rFonts w:ascii="Consolas" w:hAnsi="Consolas"/>
          <w:sz w:val="16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          'is_active', 'tariff_id'))</w:t>
      </w:r>
    </w:p>
    <w:p>
      <w:pPr>
        <w:spacing w:after="0" w:before="0"/>
      </w:pPr>
      <w:r>
        <w:rPr>
          <w:rFonts w:ascii="Consolas" w:hAnsi="Consolas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-- Предложение (П2):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6"/>
        </w:rPr>
        <w:t>-- Образец —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6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6"/>
        </w:rPr>
        <w:t>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6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6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is 'Дата и время модификации записи';</w:t>
      </w:r>
    </w:p>
    <w:p/>
    <w:p>
      <w:r>
        <w:rPr>
          <w:b/>
        </w:rPr>
        <w:t xml:space="preserve">Индексы. </w:t>
      </w:r>
      <w:r>
        <w:t>Первичный ключ и уникальность номера создают индексы автоматически; в истории индекс создаёт ограничение уникальности (favorite_route_id, field_name, route_version) — он используется для просмотра истории маршрута и запроса значения поля на дату. Для основной таблицы предлагается индекс (organization_id, is_active) в первой миграции (П6): основной запрос — маршруты организации, только активные; на пустой таблице он строится без блокировки записи. Остальные индексы подбираются в T01.2 по фактическим запросам и замерам. Стартовый объём Манжерока — до 80 маршрутов (БТ §14, вопрос 6), это не предел сервиса. Для последующих индексов на заполненной таблице: обычный CREATE INDEX блокирует запись на время построения; CREATE INDEX CONCURRENTLY выполняется вне транзакции отдельным шагом миграции.</w:t>
      </w:r>
    </w:p>
    <w:p>
      <w:r>
        <w:rPr>
          <w:b/>
        </w:rPr>
        <w:t xml:space="preserve">Номер маршрута. </w:t>
      </w:r>
      <w:r>
        <w:t>[СОГЛАСОВАТЬ С АРХИТЕКТОРОМ П2] Номер выдаёт штатный human-readable-generator; его формат совпадает с FR-XXXX-XXXXXXXX. Счётчик ведётся в таблице favorite_route.company_sq (включена в DDL выше): у каждого сервиса своя таблица, сущность и репозиторий, префикс FR задаётся в сервисе. Генератор не блокирует счётчик, поэтому от гонки при одновременном создании защищает уникальность favorite_route_number с повтором генерации при конфликте. digitId организации сервис получает у организации (способ — уточнить у архитектора). Реализация — T01.2 (Q10).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