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заказчику</w:t>
      </w:r>
    </w:p>
    <w:p>
      <w:r>
        <w:t>Редакция от 05.10.2026 после встречи и сверки T01.1 v1.1 и T01.2 v0.2. Вопросы закрытых тем перечислены в таблице в конце. Тайм-коды — по файлу стенограммы 05.10 (машинная запись, возможны неточности).</w:t>
      </w:r>
    </w:p>
    <w:p>
      <w:pPr>
        <w:pStyle w:val="Heading2"/>
      </w:pPr>
      <w:r>
        <w:t>Вопрос 1. Нужен ли класс TRANSFER_CAR_CHOICE («Выбор автомобиля») в избранных маршрутах</w:t>
      </w:r>
    </w:p>
    <w:p>
      <w:pPr>
        <w:spacing w:after="60"/>
      </w:pPr>
      <w:r>
        <w:rPr>
          <w:b/>
        </w:rPr>
        <w:t xml:space="preserve">Откуда: </w:t>
      </w:r>
      <w:r>
        <w:t>Протокол 17.09, п. 4: выбор автомобиля выполняется при оформлении заявки. Расчёт для этого класса зависит от даты поездки и свободных автомобилей, поэтому рекомендуемая стоимость в избранном маршруте не считается (T01.1, D15).</w:t>
      </w:r>
    </w:p>
    <w:p>
      <w:pPr>
        <w:spacing w:after="60"/>
      </w:pPr>
      <w:r>
        <w:rPr>
          <w:b/>
        </w:rPr>
        <w:t xml:space="preserve">Суть: </w:t>
      </w:r>
      <w:r>
        <w:t>Нужен ли этот класс в избранных маршрутах и допустима ли пустая рекомендуемая стоимость для него.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Класс нужен, рекомендуемая стоимость для него пустая.</w:t>
      </w:r>
    </w:p>
    <w:p>
      <w:pPr>
        <w:pStyle w:val="ListBullet"/>
      </w:pPr>
      <w:r>
        <w:t>B. Класс не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2. Отображение стоимости при оформлении заявки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09:00–09:25: рекомендуемая стоимость «остаётся в справочнике», «мы его не передаём на фронт»; поле обязательное в справочнике.</w:t>
      </w:r>
    </w:p>
    <w:p>
      <w:pPr>
        <w:spacing w:after="60"/>
      </w:pPr>
      <w:r>
        <w:rPr>
          <w:b/>
        </w:rPr>
        <w:t xml:space="preserve">Суть: </w:t>
      </w:r>
      <w:r>
        <w:t>Подтвердить, что при оформлении заявки пользователь видит фиксированную цену по прайсу, а рекомендуемая стоимость хранится только в справочнике и реестрах.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Да.</w:t>
      </w:r>
    </w:p>
    <w:p>
      <w:pPr>
        <w:pStyle w:val="ListBullet"/>
      </w:pPr>
      <w:r>
        <w:t>B. Рекомендуемая стоимость тоже показывается пользователю.</w:t>
      </w:r>
    </w:p>
    <w:p>
      <w:pPr>
        <w:spacing w:after="60"/>
      </w:pPr>
      <w:r>
        <w:rPr>
          <w:b/>
        </w:rPr>
        <w:t xml:space="preserve">Рекомендация: </w:t>
      </w:r>
      <w:r>
        <w:t>A; влияет на T01.3 и T04.1.</w:t>
      </w:r>
    </w:p>
    <w:p>
      <w:pPr>
        <w:pStyle w:val="Heading2"/>
      </w:pPr>
      <w:r>
        <w:t>Вопрос 3. Плановое ожидание: обязательность, ввод и предел</w:t>
      </w:r>
    </w:p>
    <w:p>
      <w:pPr>
        <w:spacing w:after="60"/>
      </w:pPr>
      <w:r>
        <w:rPr>
          <w:b/>
        </w:rPr>
        <w:t xml:space="preserve">Откуда: </w:t>
      </w:r>
      <w:r>
        <w:t>Протоколы 10.09 и 17.09: ожидание задаётся для конкретных точек и фиксируется при создании. Стенограмма 05.10: у первой и последней точек ожидания нет. БТ (BR-07): «добавление ожидания между точками при более чем 2 адресах»; в дорожной карте — «обязательное». В T01.1 (D02) пустое значение, максимум и шаг не определены.</w:t>
      </w:r>
    </w:p>
    <w:p>
      <w:pPr>
        <w:spacing w:after="60"/>
      </w:pPr>
      <w:r>
        <w:rPr>
          <w:b/>
        </w:rPr>
        <w:t xml:space="preserve">Суть: </w:t>
      </w:r>
      <w:r>
        <w:t>Обязательно ли задавать ожидание на каждой промежуточной точке; можно ли оставить пустым (это означает «ожидания нет»); вводится ли оно целыми минутами; есть ли максимум на точку.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Необязательно, пусто = нет ожидания; ввод целыми минутами; максимум 1440 минут (24 часа) на точку как техническая граница.</w:t>
      </w:r>
    </w:p>
    <w:p>
      <w:pPr>
        <w:pStyle w:val="ListBullet"/>
      </w:pPr>
      <w:r>
        <w:t>B. Обязательно у каждой промежуточной точки (0 — нет ожидания).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4. Критерий дубля маршрутов</w:t>
      </w:r>
    </w:p>
    <w:p>
      <w:pPr>
        <w:spacing w:after="60"/>
      </w:pPr>
      <w:r>
        <w:rPr>
          <w:b/>
        </w:rPr>
        <w:t xml:space="preserve">Откуда: </w:t>
      </w:r>
      <w:r>
        <w:t>T01.1, D09 и T01.2 (Q01): предлагается считать дублем активную запись с теми же адресами, видом транспорта, классом и ночным признаком и пересекающимся периодом действия.</w:t>
      </w:r>
    </w:p>
    <w:p>
      <w:pPr>
        <w:spacing w:after="60"/>
      </w:pPr>
      <w:r>
        <w:rPr>
          <w:b/>
        </w:rPr>
        <w:t xml:space="preserve">Суть: </w:t>
      </w:r>
      <w:r>
        <w:t>Какие совпадения делают два маршрута дублями и что делать при дубле.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Запретить сохранение (ошибка).</w:t>
      </w:r>
    </w:p>
    <w:p>
      <w:pPr>
        <w:pStyle w:val="ListBullet"/>
      </w:pPr>
      <w:r>
        <w:t>B. Предупредить пользователя и разрешить сохранить.</w:t>
      </w:r>
    </w:p>
    <w:p>
      <w:pPr>
        <w:spacing w:after="60"/>
      </w:pPr>
      <w:r>
        <w:rPr>
          <w:b/>
        </w:rPr>
        <w:t xml:space="preserve">Рекомендация: </w:t>
      </w:r>
      <w:r>
        <w:t>A; записи с непересекающимися периодами допускаются, истёкшие и удалённые не сравниваются.</w:t>
      </w:r>
    </w:p>
    <w:p>
      <w:pPr>
        <w:pStyle w:val="Heading2"/>
      </w:pPr>
      <w:r>
        <w:t>Вопрос 5. Период действия: часовой пояс и граничные дни</w:t>
      </w:r>
    </w:p>
    <w:p>
      <w:pPr>
        <w:spacing w:after="60"/>
      </w:pPr>
      <w:r>
        <w:rPr>
          <w:b/>
        </w:rPr>
        <w:t xml:space="preserve">Откуда: </w:t>
      </w:r>
      <w:r>
        <w:t>T01.2 (Q02): период можно не задавать, проверка идёт на желаемую дату заказа (05.10).</w:t>
      </w:r>
    </w:p>
    <w:p>
      <w:pPr>
        <w:spacing w:after="60"/>
      </w:pPr>
      <w:r>
        <w:rPr>
          <w:b/>
        </w:rPr>
        <w:t xml:space="preserve">Суть: </w:t>
      </w:r>
      <w:r>
        <w:t>В каком часовом поясе трактуются границы периода и включается ли последний день целиком.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Часовой пояс региона первой точки; последний день включается целиком.</w:t>
      </w:r>
    </w:p>
    <w:p>
      <w:pPr>
        <w:pStyle w:val="ListBullet"/>
      </w:pPr>
      <w:r>
        <w:t>B. Другое правило.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6. Список справочника: фильтры и показ истёкших маршрутов</w:t>
      </w:r>
    </w:p>
    <w:p>
      <w:pPr>
        <w:spacing w:after="60"/>
      </w:pPr>
      <w:r>
        <w:rPr>
          <w:b/>
        </w:rPr>
        <w:t xml:space="preserve">Откуда: </w:t>
      </w:r>
      <w:r>
        <w:t>T01.2 (Q03): на макете есть поиск по номеру, кнопка фильтров и пагинация; состав фильтров не показан.</w:t>
      </w:r>
    </w:p>
    <w:p>
      <w:pPr>
        <w:spacing w:after="60"/>
      </w:pPr>
      <w:r>
        <w:rPr>
          <w:b/>
        </w:rPr>
        <w:t xml:space="preserve">Суть: </w:t>
      </w:r>
      <w:r>
        <w:t>Какие фильтры нужны, показывать ли истёкшие маршруты в списке управляющего и как их отличать; нужен ли доступ к вручную удалённым записям.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Поиск по номеру, фильтры по виду транспорта, классу, ночному признаку и статусу; истёкшие показываются с пометкой; удалённые не показываются.</w:t>
      </w:r>
    </w:p>
    <w:p>
      <w:pPr>
        <w:pStyle w:val="ListBullet"/>
      </w:pPr>
      <w:r>
        <w:t>B. Другой состав.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7. Что видит пользователь, когда тариф маршрута перестал действовать</w:t>
      </w:r>
    </w:p>
    <w:p>
      <w:pPr>
        <w:spacing w:after="60"/>
      </w:pPr>
      <w:r>
        <w:rPr>
          <w:b/>
        </w:rPr>
        <w:t xml:space="preserve">Откуда: </w:t>
      </w:r>
      <w:r>
        <w:t>Протоколы 17.09 (п. 10) и 05.10: маршрут действует, пока действует тариф (T01.2, Q06).</w:t>
      </w:r>
    </w:p>
    <w:p>
      <w:pPr>
        <w:spacing w:after="60"/>
      </w:pPr>
      <w:r>
        <w:rPr>
          <w:b/>
        </w:rPr>
        <w:t xml:space="preserve">Суть: </w:t>
      </w:r>
      <w:r>
        <w:t>Как показывать такой маршрут: скрывать при выборе, показывать как недоступный с пояснением, оставлять только для просмотра в справочнике.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Скрыт при выборе заявки, в справочнике виден с пометкой «нет действующего тарифа».</w:t>
      </w:r>
    </w:p>
    <w:p>
      <w:pPr>
        <w:pStyle w:val="ListBullet"/>
      </w:pPr>
      <w:r>
        <w:t>B. Виден при выборе, но недоступен.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8. Ручной ввод координат для неразмеченных объектов</w:t>
      </w:r>
    </w:p>
    <w:p>
      <w:pPr>
        <w:spacing w:after="60"/>
      </w:pPr>
      <w:r>
        <w:rPr>
          <w:b/>
        </w:rPr>
        <w:t xml:space="preserve">Откуда: </w:t>
      </w:r>
      <w:r>
        <w:t>Встреча 24.09, 01:35–04:30: точка выбирается через адресный API, потребность в ручном вводе координат заказчик обещал уточнить.</w:t>
      </w:r>
    </w:p>
    <w:p>
      <w:pPr>
        <w:spacing w:after="60"/>
      </w:pPr>
      <w:r>
        <w:rPr>
          <w:b/>
        </w:rPr>
        <w:t xml:space="preserve">Суть: </w:t>
      </w:r>
      <w:r>
        <w:t>Нужен ли ввод координат вручную для объектов, которых нет в адресном сервисе.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Не нужен, точка выбирается только через адресный API.</w:t>
      </w:r>
    </w:p>
    <w:p>
      <w:pPr>
        <w:pStyle w:val="ListBullet"/>
      </w:pPr>
      <w:r>
        <w:t>B.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A, пока нет конкретных объектов.</w:t>
      </w:r>
    </w:p>
    <w:p>
      <w:pPr>
        <w:pStyle w:val="Heading2"/>
      </w:pPr>
      <w:r>
        <w:t>Вопрос 9. Бесплатное ожидание в виджетах WEB и МП</w:t>
      </w:r>
    </w:p>
    <w:p>
      <w:pPr>
        <w:spacing w:after="60"/>
      </w:pPr>
      <w:r>
        <w:rPr>
          <w:b/>
        </w:rPr>
        <w:t xml:space="preserve">Откуда: </w:t>
      </w:r>
      <w:r>
        <w:t>Бесплатное ожидание берётся из тарифа. Для трансфера лимит вычитается на каждой точке, для такси к остановкам не применяется (платное ожидание, 05.10, 00:00–00:54).</w:t>
      </w:r>
    </w:p>
    <w:p>
      <w:pPr>
        <w:spacing w:after="60"/>
      </w:pPr>
      <w:r>
        <w:rPr>
          <w:b/>
        </w:rPr>
        <w:t xml:space="preserve">Суть: </w:t>
      </w:r>
      <w:r>
        <w:t>Что показывать в виджетах WEB и МП: значение тарифа, только платное ожидание или ничего.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Значение тарифа для трансфера; для такси — только платное ожидание.</w:t>
      </w:r>
    </w:p>
    <w:p>
      <w:pPr>
        <w:pStyle w:val="ListBullet"/>
      </w:pPr>
      <w:r>
        <w:t>B. Значение тарифа для обоих видов транспорта.</w:t>
      </w:r>
    </w:p>
    <w:p>
      <w:pPr>
        <w:spacing w:after="60"/>
      </w:pPr>
      <w:r>
        <w:rPr>
          <w:b/>
        </w:rPr>
        <w:t xml:space="preserve">Рекомендация: </w:t>
      </w:r>
      <w:r>
        <w:t>A (T02.1/T03.1).</w:t>
      </w:r>
    </w:p>
    <w:p>
      <w:pPr>
        <w:pStyle w:val="Heading1"/>
      </w:pPr>
      <w:r>
        <w:t>Закрыто по записи 05.10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835"/>
          </w:tcPr>
          <w:p>
            <w:r>
              <w:t>Число точек</w:t>
            </w:r>
          </w:p>
        </w:tc>
        <w:tc>
          <w:tcPr>
            <w:tcW w:type="dxa" w:w="6803"/>
          </w:tcPr>
          <w:p>
            <w:r>
              <w:t>От 2 до 26, включая базу (10:24–12:04). Первая точка — место базирования (гараж, отель), последняя — конечная точка; для маршрутов с возвратом совпадает с базой.</w:t>
            </w:r>
          </w:p>
        </w:tc>
      </w:tr>
      <w:tr>
        <w:tc>
          <w:tcPr>
            <w:tcW w:type="dxa" w:w="2835"/>
          </w:tcPr>
          <w:p>
            <w:r>
              <w:t>Название точки</w:t>
            </w:r>
          </w:p>
        </w:tc>
        <w:tc>
          <w:tcPr>
            <w:tcW w:type="dxa" w:w="6803"/>
          </w:tcPr>
          <w:p>
            <w:r>
              <w:t>Поле name (в адресном API — label) есть в точке, но необязательно (09:40–10:11).</w:t>
            </w:r>
          </w:p>
        </w:tc>
      </w:tr>
      <w:tr>
        <w:tc>
          <w:tcPr>
            <w:tcW w:type="dxa" w:w="2835"/>
          </w:tcPr>
          <w:p>
            <w:r>
              <w:t>Классы такси</w:t>
            </w:r>
          </w:p>
        </w:tc>
        <w:tc>
          <w:tcPr>
            <w:tcW w:type="dxa" w:w="6803"/>
          </w:tcPr>
          <w:p>
            <w:r>
              <w:t>OFFICIAL и автобусные классы остаются (12:24–13:30).</w:t>
            </w:r>
          </w:p>
        </w:tc>
      </w:tr>
      <w:tr>
        <w:tc>
          <w:tcPr>
            <w:tcW w:type="dxa" w:w="2835"/>
          </w:tcPr>
          <w:p>
            <w:r>
              <w:t>Ночной признак трансфера</w:t>
            </w:r>
          </w:p>
        </w:tc>
        <w:tc>
          <w:tcPr>
            <w:tcW w:type="dxa" w:w="6803"/>
          </w:tcPr>
          <w:p>
            <w:r>
              <w:t>Для трансфера признак необязателен, по умолчанию false; подбор варианта по времени выезда — T02/T04.1.</w:t>
            </w:r>
          </w:p>
        </w:tc>
      </w:tr>
      <w:tr>
        <w:tc>
          <w:tcPr>
            <w:tcW w:type="dxa" w:w="2835"/>
          </w:tcPr>
          <w:p>
            <w:r>
              <w:t>Период маршрута и тариф</w:t>
            </w:r>
          </w:p>
        </w:tc>
        <w:tc>
          <w:tcPr>
            <w:tcW w:type="dxa" w:w="6803"/>
          </w:tcPr>
          <w:p>
            <w:r>
              <w:t>Круглогодичные маршруты допускаются (12:07–12:17); маршрут действует, пока действует тариф; период маршрута тарифом при сохранении не ограничивается.</w:t>
            </w:r>
          </w:p>
        </w:tc>
      </w:tr>
      <w:tr>
        <w:tc>
          <w:tcPr>
            <w:tcW w:type="dxa" w:w="2835"/>
          </w:tcPr>
          <w:p>
            <w:r>
              <w:t>Права доступа</w:t>
            </w:r>
          </w:p>
        </w:tc>
        <w:tc>
          <w:tcPr>
            <w:tcW w:type="dxa" w:w="6803"/>
          </w:tcPr>
          <w:p>
            <w:r>
              <w:t>Доступ у авторизованных пользователей с правами (протокол 10.09, п. 10); отдельная бизнес-роль не выделяется.</w:t>
            </w:r>
          </w:p>
        </w:tc>
      </w:tr>
      <w:tr>
        <w:tc>
          <w:tcPr>
            <w:tcW w:type="dxa" w:w="2835"/>
          </w:tcPr>
          <w:p>
            <w:r>
              <w:t>Изменение маршрута</w:t>
            </w:r>
          </w:p>
        </w:tc>
        <w:tc>
          <w:tcPr>
            <w:tcW w:type="dxa" w:w="6803"/>
          </w:tcPr>
          <w:p>
            <w:r>
              <w:t>Корректировка разрешена с сохранением, кто и когда правил (протокол 10.09, п. 7).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