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T01.1. Модель данных FavoriteRoute: обновлённые таблицы раздела 3</w:t>
      </w:r>
    </w:p>
    <w:p>
      <w:r>
        <w:t>Предложение от 02.10.2026 к редакции v1.8. Изменения: version — int8 (было int4); route_version — int8 (было int4, тип совпадает с version). Остальной текст — из присланной таблицы, без правок. Решения 02.10: version и route_version — int8; waitTime — int64, миллисекунды (D02).</w:t>
      </w:r>
    </w:p>
    <w:p>
      <w:pPr>
        <w:pStyle w:val="Heading1"/>
      </w:pPr>
      <w:r>
        <w:t>3 Состав полей</w:t>
      </w:r>
    </w:p>
    <w:p>
      <w:pPr>
        <w:pStyle w:val="Heading2"/>
      </w:pPr>
      <w:r>
        <w:t>Поля favorite_route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041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Обяз / default</w:t>
            </w:r>
          </w:p>
        </w:tc>
        <w:tc>
          <w:tcPr>
            <w:tcW w:type="dxa" w:w="9411"/>
          </w:tcPr>
          <w:p>
            <w:r/>
            <w:r>
              <w:rPr>
                <w:b/>
              </w:rPr>
              <w:t>Назначение и правило</w:t>
            </w:r>
          </w:p>
        </w:tc>
      </w:tr>
      <w:tr>
        <w:tc>
          <w:tcPr>
            <w:tcW w:type="dxa" w:w="2041"/>
          </w:tcPr>
          <w:p>
            <w:r/>
            <w:r>
              <w:t>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Технический идентификатор. Генерируется приложением, не базой</w:t>
            </w:r>
          </w:p>
        </w:tc>
      </w:tr>
      <w:tr>
        <w:tc>
          <w:tcPr>
            <w:tcW w:type="dxa" w:w="2041"/>
          </w:tcPr>
          <w:p>
            <w:r/>
            <w:r>
              <w:t>favorite_route_number</w:t>
            </w:r>
          </w:p>
        </w:tc>
        <w:tc>
          <w:tcPr>
            <w:tcW w:type="dxa" w:w="1587"/>
          </w:tcPr>
          <w:p>
            <w:r/>
            <w:r>
              <w:t>varchar(20)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Номер маршрута FR-XXXX-XXXXXXXX , уникален. Имя поля — решение встречи 17.09: указание на сущность исключает путаницу с одноимёнными полями других сервисов. XXXX — digitId организации (13 → 0013), не organizationCode. Генерация номера — T01.2 (Q10). Счётчик ведётся в служебной таблице company_sq (см. ниже). [СОГЛАСОВАТЬ С АРХИТЕКТОРОМ П2]</w:t>
            </w:r>
          </w:p>
        </w:tc>
      </w:tr>
      <w:tr>
        <w:tc>
          <w:tcPr>
            <w:tcW w:type="dxa" w:w="2041"/>
          </w:tcPr>
          <w:p>
            <w:r/>
            <w:r>
              <w:t>route_name</w:t>
            </w:r>
          </w:p>
        </w:tc>
        <w:tc>
          <w:tcPr>
            <w:tcW w:type="dxa" w:w="1587"/>
          </w:tcPr>
          <w:p>
            <w:r/>
            <w:r>
              <w:t>varchar(255)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Название маршрута, не уникально. Длина соответствует практике сервиса тарифов</w:t>
            </w:r>
          </w:p>
        </w:tc>
      </w:tr>
      <w:tr>
        <w:tc>
          <w:tcPr>
            <w:tcW w:type="dxa" w:w="2041"/>
          </w:tcPr>
          <w:p>
            <w:r/>
            <w:r>
              <w:t>waypoints</w:t>
            </w:r>
          </w:p>
        </w:tc>
        <w:tc>
          <w:tcPr>
            <w:tcW w:type="dxa" w:w="1587"/>
          </w:tcPr>
          <w:p>
            <w:r/>
            <w:r>
              <w:t>jsonb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Упорядоченные точки: база (выезд), промежуточные точки с плановым ожиданием, база (возврат). От 3 до 10 точек, включая базу. [СОГЛАСОВАТЬ С АРХИТЕКТОРОМ] Тип jsonb вместо json; состав точки — раздел 4. [СОГЛАСОВАТЬ С ЗАКАЗЧИКОМ D10] Минимум 3 точки.</w:t>
            </w:r>
          </w:p>
        </w:tc>
      </w:tr>
      <w:tr>
        <w:tc>
          <w:tcPr>
            <w:tcW w:type="dxa" w:w="2041"/>
          </w:tcPr>
          <w:p>
            <w:r/>
            <w:r>
              <w:t>transport_type</w:t>
            </w:r>
          </w:p>
        </w:tc>
        <w:tc>
          <w:tcPr>
            <w:tcW w:type="dxa" w:w="1587"/>
          </w:tcPr>
          <w:p>
            <w:r/>
            <w:r>
              <w:t>varchar(50)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 xml:space="preserve">Вид транспорта: TAXI / GROUP_TRANSFER. </w:t>
            </w:r>
          </w:p>
        </w:tc>
      </w:tr>
      <w:tr>
        <w:tc>
          <w:tcPr>
            <w:tcW w:type="dxa" w:w="2041"/>
          </w:tcPr>
          <w:p>
            <w:r/>
            <w:r>
              <w:t>service_class</w:t>
            </w:r>
          </w:p>
        </w:tc>
        <w:tc>
          <w:tcPr>
            <w:tcW w:type="dxa" w:w="1587"/>
          </w:tcPr>
          <w:p>
            <w:r/>
            <w:r>
              <w:t>varchar(50)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Код класса соответствует transport_type. TAXI: ECONOMY, COMFORT, COMFORT_PLUS, BUSINESS, OFFICIAL. GROUP_TRANSFER: TRANSFER, TRANSFER_COMFORT, TRANSFER_COMFORT_PLUS, TRANSFER_BUSINESS, TRANSFER_VIP, TRANSFER_CAR_CHOICE. Коды получены со стенда. [СОГЛАСОВАТЬ С ЗАКАЗЧИКОМ] Для такси используются все классы платформы, включая OFFICIAL («Служебный»); VIP  такси не вводится — в платформе его нет.</w:t>
            </w:r>
          </w:p>
        </w:tc>
      </w:tr>
      <w:tr>
        <w:tc>
          <w:tcPr>
            <w:tcW w:type="dxa" w:w="2041"/>
          </w:tcPr>
          <w:p>
            <w:r/>
            <w:r>
              <w:t>total_km</w:t>
            </w:r>
          </w:p>
        </w:tc>
        <w:tc>
          <w:tcPr>
            <w:tcW w:type="dxa" w:w="1587"/>
          </w:tcPr>
          <w:p>
            <w:r/>
            <w:r>
              <w:t>numeric(7,3)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Протяжённость, км; внешнее distance — км. Заполняется расчётом маршрута. [СОГЛАСОВАТЬ С АРХИТЕКТОРОМ D06] numeric(7,3): distance приходит с точностью до метра (пример стенда 0.886 км) и хранится без округления.</w:t>
            </w:r>
          </w:p>
        </w:tc>
      </w:tr>
      <w:tr>
        <w:tc>
          <w:tcPr>
            <w:tcW w:type="dxa" w:w="2041"/>
          </w:tcPr>
          <w:p>
            <w:r/>
            <w:r>
              <w:t>travel_time</w:t>
            </w:r>
          </w:p>
        </w:tc>
        <w:tc>
          <w:tcPr>
            <w:tcW w:type="dxa" w:w="1587"/>
          </w:tcPr>
          <w:p>
            <w:r/>
            <w:r>
              <w:t>numeric(6,1)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Движение без ожидания, минуты. Внешнее time — мс. [СОГЛАСОВАТЬ С АРХИТЕКТОРОМ D06] time / 60000 с округлением half-up до 0,1 минуты; значение вне диапазона numeric(6,1) отклоняется.</w:t>
            </w:r>
          </w:p>
        </w:tc>
      </w:tr>
      <w:tr>
        <w:tc>
          <w:tcPr>
            <w:tcW w:type="dxa" w:w="2041"/>
          </w:tcPr>
          <w:p>
            <w:r/>
            <w:r>
              <w:t>total_time</w:t>
            </w:r>
          </w:p>
        </w:tc>
        <w:tc>
          <w:tcPr>
            <w:tcW w:type="dxa" w:w="1587"/>
          </w:tcPr>
          <w:p>
            <w:r/>
            <w:r>
              <w:t>numeric(6,1)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Продолжительность с плановым ожиданием, минуты. [СОГЛАСОВАТЬ С АРХИТЕКТОРОМ D06] (time + сумма waitTime по точкам) / 60000 с округлением half-up до 0,1 минуты один раз, после суммирования; значение вне диапазона numeric(6,1) отклоняется.</w:t>
            </w:r>
          </w:p>
        </w:tc>
      </w:tr>
      <w:tr>
        <w:tc>
          <w:tcPr>
            <w:tcW w:type="dxa" w:w="2041"/>
          </w:tcPr>
          <w:p>
            <w:r/>
            <w:r>
              <w:t>recommended_cost</w:t>
            </w:r>
          </w:p>
        </w:tc>
        <w:tc>
          <w:tcPr>
            <w:tcW w:type="dxa" w:w="1587"/>
          </w:tcPr>
          <w:p>
            <w:r/>
            <w:r>
              <w:t>int4</w:t>
            </w:r>
          </w:p>
        </w:tc>
        <w:tc>
          <w:tcPr>
            <w:tcW w:type="dxa" w:w="1701"/>
          </w:tcPr>
          <w:p>
            <w:r/>
            <w:r>
              <w:t xml:space="preserve">Да </w:t>
            </w:r>
          </w:p>
        </w:tc>
        <w:tc>
          <w:tcPr>
            <w:tcW w:type="dxa" w:w="9411"/>
          </w:tcPr>
          <w:p>
            <w:r/>
            <w:r>
              <w:t>Рекомендуемая стоимость по тарифу, копейки. Заполняется системой результатом штатного calculate (кнопка расчёта по тарифу, БТ §8.2); вручную не вводится. [СОГЛАСОВАТЬ С ЗАКАЗЧИКОМ И АРХИТЕКТОРОМ] Обязательно: без расчёта по тарифу маршрут не сохраняется. Не перезаписывается при изменении fixed_cost (БТ §12). [СОГЛАСОВАТЬ С АРХИТЕКТОРОМ D06] int4; значение вне диапазона отклоняется. [T01.4] Контракт получения результата.</w:t>
            </w:r>
          </w:p>
        </w:tc>
      </w:tr>
      <w:tr>
        <w:tc>
          <w:tcPr>
            <w:tcW w:type="dxa" w:w="2041"/>
          </w:tcPr>
          <w:p>
            <w:r/>
            <w:r>
              <w:t>fixed_cost</w:t>
            </w:r>
          </w:p>
        </w:tc>
        <w:tc>
          <w:tcPr>
            <w:tcW w:type="dxa" w:w="1587"/>
          </w:tcPr>
          <w:p>
            <w:r/>
            <w:r>
              <w:t>int4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Фиксированная цена из прайса, утверждённого приказом/документом; копейки, &gt; 0. Включает платные дороги и парковку (БТ §6.3). Вводится пользователем только вручную и не предзаполняется значением recommended. [СОГЛАСОВАТЬ С АРХИТЕКТОРОМ D06] int4, как recommended_cost.</w:t>
            </w:r>
          </w:p>
        </w:tc>
      </w:tr>
      <w:tr>
        <w:tc>
          <w:tcPr>
            <w:tcW w:type="dxa" w:w="2041"/>
          </w:tcPr>
          <w:p>
            <w:r/>
            <w:r>
              <w:t>is_night_tariff</w:t>
            </w:r>
          </w:p>
        </w:tc>
        <w:tc>
          <w:tcPr>
            <w:tcW w:type="dxa" w:w="1587"/>
          </w:tcPr>
          <w:p>
            <w:r/>
            <w:r>
              <w:t>boolean</w:t>
            </w:r>
          </w:p>
        </w:tc>
        <w:tc>
          <w:tcPr>
            <w:tcW w:type="dxa" w:w="1701"/>
          </w:tcPr>
          <w:p>
            <w:r/>
            <w:r>
              <w:t>Да / false</w:t>
            </w:r>
          </w:p>
        </w:tc>
        <w:tc>
          <w:tcPr>
            <w:tcW w:type="dxa" w:w="9411"/>
          </w:tcPr>
          <w:p>
            <w:r/>
            <w:r>
              <w:t>Признак ночного тарифа (22:00–06:00). Ночной и дневной маршруты — отдельные записи со своей ценой (БТ §6.1). Хранится для UI и фильтрации. TAXI: совпадает с тарифом tariff_id, валидируется при сохранении. GROUP_TRANSFER: единственный источник признака — в тарифе трансфера его нет.</w:t>
            </w:r>
          </w:p>
        </w:tc>
      </w:tr>
      <w:tr>
        <w:tc>
          <w:tcPr>
            <w:tcW w:type="dxa" w:w="2041"/>
          </w:tcPr>
          <w:p>
            <w:r/>
            <w:r>
              <w:t>valid_from / valid_to</w:t>
            </w:r>
          </w:p>
        </w:tc>
        <w:tc>
          <w:tcPr>
            <w:tcW w:type="dxa" w:w="1587"/>
          </w:tcPr>
          <w:p>
            <w:r/>
            <w:r>
              <w:t>date</w:t>
            </w:r>
          </w:p>
        </w:tc>
        <w:tc>
          <w:tcPr>
            <w:tcW w:type="dxa" w:w="1701"/>
          </w:tcPr>
          <w:p>
            <w:r/>
            <w:r>
              <w:t>Нет [СОГЛАСОВАТЬ С заказчиком]</w:t>
            </w:r>
          </w:p>
        </w:tc>
        <w:tc>
          <w:tcPr>
            <w:tcW w:type="dxa" w:w="9411"/>
          </w:tcPr>
          <w:p>
            <w:r/>
            <w:r>
              <w:t>Календарный период действия маршрута: сезонность; valid_from ≤ valid_to. В списке выбора — только активные записи с действующим на текущую дату периодом (БТ §7.1, §12). Период истёкшего маршрута не продлевается.</w:t>
            </w:r>
          </w:p>
        </w:tc>
      </w:tr>
      <w:tr>
        <w:tc>
          <w:tcPr>
            <w:tcW w:type="dxa" w:w="2041"/>
          </w:tcPr>
          <w:p>
            <w:r/>
            <w:r>
              <w:t>is_active</w:t>
            </w:r>
          </w:p>
        </w:tc>
        <w:tc>
          <w:tcPr>
            <w:tcW w:type="dxa" w:w="1587"/>
          </w:tcPr>
          <w:p>
            <w:r/>
            <w:r>
              <w:t>boolean</w:t>
            </w:r>
          </w:p>
        </w:tc>
        <w:tc>
          <w:tcPr>
            <w:tcW w:type="dxa" w:w="1701"/>
          </w:tcPr>
          <w:p>
            <w:r/>
            <w:r>
              <w:t>Да / true</w:t>
            </w:r>
          </w:p>
        </w:tc>
        <w:tc>
          <w:tcPr>
            <w:tcW w:type="dxa" w:w="9411"/>
          </w:tcPr>
          <w:p>
            <w:r/>
            <w:r>
              <w:t>false — маршрут удалён вручную (деактивирован). Восстановление и продление не допускаются, поэтому причину неактивности хранить не требуется. История сохраняется. Удалённый и истёкший маршруты доступны только для чтения: запрос на изменение отклоняется (T01.2). [СОГЛАСОВАТЬ С АРХИТЕКТОРОМ] Истечение срока (БТ §8.4, §9.2) определяется по valid_to при чтении, is_active при этом не меняется; реализация — T01.2.</w:t>
            </w:r>
          </w:p>
        </w:tc>
      </w:tr>
      <w:tr>
        <w:tc>
          <w:tcPr>
            <w:tcW w:type="dxa" w:w="2041"/>
          </w:tcPr>
          <w:p>
            <w:r/>
            <w:r>
              <w:t>tariff_id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действующего связанного тарифа (БТ §5) без межсервисного FK. При истечении тарифа маршрут недоступен для новой заявки. [СОГЛАСОВАТЬ С ЗАКАЗЧИКОМ И АРХИТЕКТОРОМ] Хранится клиентский тариф (tariffId заявки), а не тариф перевозчика (outcomeTariffId). [СОГЛАСОВАТЬ С АРХИТЕКТОРОМ Q06/Q13] Активность тарифа проверяется при выдаче списка тем же вызовом TariffService, что и бесплатное ожидание; реализация — T01.2/T01.4.</w:t>
            </w:r>
          </w:p>
        </w:tc>
      </w:tr>
      <w:tr>
        <w:tc>
          <w:tcPr>
            <w:tcW w:type="dxa" w:w="2041"/>
          </w:tcPr>
          <w:p>
            <w:r/>
            <w:r>
              <w:t>organization_id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организации внешнего сервиса, без межсервисного FK.</w:t>
            </w:r>
          </w:p>
        </w:tc>
      </w:tr>
      <w:tr>
        <w:tc>
          <w:tcPr>
            <w:tcW w:type="dxa" w:w="2041"/>
          </w:tcPr>
          <w:p>
            <w:r/>
            <w:r>
              <w:t>created_by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Автор записи. UUID пользователя внешнего сервиса</w:t>
            </w:r>
          </w:p>
        </w:tc>
      </w:tr>
      <w:tr>
        <w:tc>
          <w:tcPr>
            <w:tcW w:type="dxa" w:w="2041"/>
          </w:tcPr>
          <w:p>
            <w:r/>
            <w:r>
              <w:t>updated_by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пользователя, последним сохранившего запись. Заполняется сервисом при каждом сохранении вместе с updated_at и version; при создании равен created_by. Технические поля (id, favorite_route_number, organization_id, created_by, created_at, updated_by, updated_at, version) пользователь не редактирует.</w:t>
            </w:r>
          </w:p>
        </w:tc>
      </w:tr>
      <w:tr>
        <w:tc>
          <w:tcPr>
            <w:tcW w:type="dxa" w:w="2041"/>
          </w:tcPr>
          <w:p>
            <w:r/>
            <w:r>
              <w:t>created_at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создания</w:t>
            </w:r>
          </w:p>
        </w:tc>
      </w:tr>
      <w:tr>
        <w:tc>
          <w:tcPr>
            <w:tcW w:type="dxa" w:w="2041"/>
          </w:tcPr>
          <w:p>
            <w:r/>
            <w:r>
              <w:t>updated_at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последнего изменения</w:t>
            </w:r>
          </w:p>
        </w:tc>
      </w:tr>
      <w:tr>
        <w:tc>
          <w:tcPr>
            <w:tcW w:type="dxa" w:w="2041"/>
          </w:tcPr>
          <w:p>
            <w:r/>
            <w:r>
              <w:t>version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int8</w:t>
            </w:r>
          </w:p>
        </w:tc>
        <w:tc>
          <w:tcPr>
            <w:tcW w:type="dxa" w:w="1701"/>
          </w:tcPr>
          <w:p>
            <w:r/>
            <w:r>
              <w:t>Да / 0</w:t>
            </w:r>
          </w:p>
        </w:tc>
        <w:tc>
          <w:tcPr>
            <w:tcW w:type="dxa" w:w="9411"/>
          </w:tcPr>
          <w:p>
            <w:r/>
            <w:r>
              <w:t>Версия записи для оптимистичной блокировки (JPA @Version). Клиент передаёт версию в теле запроса; при расхождении — 409 с ProblemDTO и currentVersion; интерфейс сообщает об изменении другим пользователем. Номер версии пишется в историю как route_version (D04). Реализация — T01.2.</w:t>
            </w:r>
          </w:p>
        </w:tc>
      </w:tr>
    </w:tbl>
    <w:p>
      <w:pPr>
        <w:pStyle w:val="Heading2"/>
      </w:pPr>
      <w:r>
        <w:t>Поля favorite_route_history (БТ §10.2; реализация — D04)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041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Обяз / default</w:t>
            </w:r>
          </w:p>
        </w:tc>
        <w:tc>
          <w:tcPr>
            <w:tcW w:type="dxa" w:w="9411"/>
          </w:tcPr>
          <w:p>
            <w:r/>
            <w:r>
              <w:rPr>
                <w:b/>
              </w:rPr>
              <w:t>Назначение и правило</w:t>
            </w:r>
          </w:p>
        </w:tc>
      </w:tr>
      <w:tr>
        <w:tc>
          <w:tcPr>
            <w:tcW w:type="dxa" w:w="2041"/>
          </w:tcPr>
          <w:p>
            <w:r/>
            <w:r>
              <w:t>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Идентификатор записи истории. Генерируется приложением</w:t>
            </w:r>
          </w:p>
        </w:tc>
      </w:tr>
      <w:tr>
        <w:tc>
          <w:tcPr>
            <w:tcW w:type="dxa" w:w="2041"/>
          </w:tcPr>
          <w:p>
            <w:r/>
            <w:r>
              <w:t>favorite_route_id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FK на favorite_route.id</w:t>
            </w:r>
          </w:p>
        </w:tc>
      </w:tr>
      <w:tr>
        <w:tc>
          <w:tcPr>
            <w:tcW w:type="dxa" w:w="2041"/>
          </w:tcPr>
          <w:p>
            <w:r/>
            <w:r>
              <w:t>route_version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int8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Версия favorite_route после сохранения: строки одного сохранения имеют один номер, порядок изменений — по номеру, исходная запись — 0. Тип совпадает с favorite_route.version. [СОГЛАСОВАТЬ С АРХИТЕКТОРОМ D04]</w:t>
            </w:r>
          </w:p>
        </w:tc>
      </w:tr>
      <w:tr>
        <w:tc>
          <w:tcPr>
            <w:tcW w:type="dxa" w:w="2041"/>
          </w:tcPr>
          <w:p>
            <w:r/>
            <w:r>
              <w:t>changed_by</w:t>
            </w:r>
          </w:p>
        </w:tc>
        <w:tc>
          <w:tcPr>
            <w:tcW w:type="dxa" w:w="1587"/>
          </w:tcPr>
          <w:p>
            <w:r/>
            <w:r>
              <w:t>uuid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UUID пользователя, выполнившего изменение</w:t>
            </w:r>
          </w:p>
        </w:tc>
      </w:tr>
      <w:tr>
        <w:tc>
          <w:tcPr>
            <w:tcW w:type="dxa" w:w="2041"/>
          </w:tcPr>
          <w:p>
            <w:r/>
            <w:r>
              <w:t>changed_at</w:t>
            </w:r>
          </w:p>
        </w:tc>
        <w:tc>
          <w:tcPr>
            <w:tcW w:type="dxa" w:w="1587"/>
          </w:tcPr>
          <w:p>
            <w:r/>
            <w:r>
              <w:t>timestamptz</w:t>
            </w:r>
          </w:p>
        </w:tc>
        <w:tc>
          <w:tcPr>
            <w:tcW w:type="dxa" w:w="1701"/>
          </w:tcPr>
          <w:p>
            <w:r/>
            <w:r>
              <w:t>Да / now()</w:t>
            </w:r>
          </w:p>
        </w:tc>
        <w:tc>
          <w:tcPr>
            <w:tcW w:type="dxa" w:w="9411"/>
          </w:tcPr>
          <w:p>
            <w:r/>
            <w:r>
              <w:t>Дата и время изменения</w:t>
            </w:r>
          </w:p>
        </w:tc>
      </w:tr>
      <w:tr>
        <w:tc>
          <w:tcPr>
            <w:tcW w:type="dxa" w:w="2041"/>
          </w:tcPr>
          <w:p>
            <w:r/>
            <w:r>
              <w:t>field_name</w:t>
            </w:r>
          </w:p>
        </w:tc>
        <w:tc>
          <w:tcPr>
            <w:tcW w:type="dxa" w:w="1587"/>
          </w:tcPr>
          <w:p>
            <w:r/>
            <w:r>
              <w:t>varchar(64)</w:t>
            </w:r>
          </w:p>
        </w:tc>
        <w:tc>
          <w:tcPr>
            <w:tcW w:type="dxa" w:w="1701"/>
          </w:tcPr>
          <w:p>
            <w:r/>
            <w:r>
              <w:t>Да</w:t>
            </w:r>
          </w:p>
        </w:tc>
        <w:tc>
          <w:tcPr>
            <w:tcW w:type="dxa" w:w="9411"/>
          </w:tcPr>
          <w:p>
            <w:r/>
            <w:r>
              <w:t>Имя изменённого поля favorite_route — одно из восстанавливаемых полей (раздел 5). Значение — имя колонки БД в snake_case, например fixed_cost. [СОГЛАСОВАТЬ С АРХИТЕКТОРОМ] Перечень закрепляется проверкой CHECK в БД и перечислением в коде сервиса (T01.2).</w:t>
            </w:r>
          </w:p>
        </w:tc>
      </w:tr>
      <w:tr>
        <w:tc>
          <w:tcPr>
            <w:tcW w:type="dxa" w:w="2041"/>
          </w:tcPr>
          <w:p>
            <w:r/>
            <w:r>
              <w:t>old_value</w:t>
            </w:r>
          </w:p>
        </w:tc>
        <w:tc>
          <w:tcPr>
            <w:tcW w:type="dxa" w:w="1587"/>
          </w:tcPr>
          <w:p>
            <w:r/>
            <w:r>
              <w:t>text</w:t>
            </w:r>
          </w:p>
        </w:tc>
        <w:tc>
          <w:tcPr>
            <w:tcW w:type="dxa" w:w="1701"/>
          </w:tcPr>
          <w:p>
            <w:r/>
            <w:r>
              <w:t>Нет</w:t>
            </w:r>
          </w:p>
        </w:tc>
        <w:tc>
          <w:tcPr>
            <w:tcW w:type="dxa" w:w="9411"/>
          </w:tcPr>
          <w:p>
            <w:r/>
            <w:r>
              <w:t>Значение до изменения; при создании маршрута пусто</w:t>
            </w:r>
          </w:p>
        </w:tc>
      </w:tr>
      <w:tr>
        <w:tc>
          <w:tcPr>
            <w:tcW w:type="dxa" w:w="2041"/>
          </w:tcPr>
          <w:p>
            <w:r/>
            <w:r>
              <w:t>new_value</w:t>
            </w:r>
          </w:p>
        </w:tc>
        <w:tc>
          <w:tcPr>
            <w:tcW w:type="dxa" w:w="1587"/>
          </w:tcPr>
          <w:p>
            <w:r/>
            <w:r>
              <w:t>text</w:t>
            </w:r>
          </w:p>
        </w:tc>
        <w:tc>
          <w:tcPr>
            <w:tcW w:type="dxa" w:w="1701"/>
          </w:tcPr>
          <w:p>
            <w:r/>
            <w:r>
              <w:t>Нет</w:t>
            </w:r>
          </w:p>
        </w:tc>
        <w:tc>
          <w:tcPr>
            <w:tcW w:type="dxa" w:w="9411"/>
          </w:tcPr>
          <w:p>
            <w:r/>
            <w:r>
              <w:t>Значение после изменения; для waypoints — JSON целиком</w:t>
            </w:r>
          </w:p>
        </w:tc>
      </w:tr>
    </w:tbl>
    <w:p>
      <w:pPr>
        <w:pStyle w:val="Heading2"/>
      </w:pPr>
      <w:r>
        <w:t>Изменения в DDL (раздел 6)</w:t>
      </w:r>
    </w:p>
    <w:p>
      <w:r>
        <w:t>В таблице favorite_route: version int8 NOT NULL DEFAULT 0 (было int4). В таблице favorite_route_history: route_version int8 NOT NULL (было int4). В Java: поле @Version типа Long. Ограничение UNIQUE (favorite_route_id, field_name, route_version) не меняется.</w:t>
      </w:r>
    </w:p>
    <w:p>
      <w:pPr>
        <w:pStyle w:val="Heading2"/>
      </w:pPr>
      <w:r>
        <w:t>Что осталось без изменений и требует решения</w:t>
      </w:r>
    </w:p>
    <w:p>
      <w:pPr>
        <w:pStyle w:val="ListBullet"/>
      </w:pPr>
      <w:r>
        <w:t>tariff_id: текст «При истечении тарифа маршрут недоступен…» и проверка активности при выдаче списка не согласуются с тем, что тариф при загрузке получает новый id (П1). Решение по привязке тарифа и по проверке доступности в списке — за архитектором и T01.4.</w:t>
      </w:r>
    </w:p>
    <w:p>
      <w:pPr>
        <w:pStyle w:val="ListBullet"/>
      </w:pPr>
      <w:r>
        <w:t>service_class: фраза «используются все классы платформы» неточна — в TaxiClass есть ещё четыре автобусных класса (П5).</w:t>
      </w:r>
    </w:p>
    <w:p>
      <w:pPr>
        <w:pStyle w:val="ListBullet"/>
      </w:pPr>
      <w:r>
        <w:t>waypoints: имя и единица waitTime решены (waitTime, int64, мс); остальные [СОГЛАСОВАТЬ] без изменений.</w:t>
      </w:r>
    </w:p>
    <w:p>
      <w:pPr>
        <w:pStyle w:val="Heading2"/>
      </w:pPr>
      <w:r>
        <w:t>Служебная таблица company_sq (счётчик номера маршрута)</w:t>
      </w:r>
    </w:p>
    <w:p>
      <w:r>
        <w:t>[СОГЛАСОВАТЬ С АРХИТЕКТОРОМ П2] Таблица нужна штатной библиотеке human-readable-generator: в каждом сервисе своя таблица, сущность и репозиторий. Образец — request.company_sq (сервис заявок). Префикс FR задаётся в сервисе избранных маршрутов. Если архитектор выберет собственный счётчик (UPDATE … RETURNING) вместо библиотеки, структура может измениться.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2041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Обяз / default</w:t>
            </w:r>
          </w:p>
        </w:tc>
        <w:tc>
          <w:tcPr>
            <w:tcW w:type="dxa" w:w="9411"/>
          </w:tcPr>
          <w:p>
            <w:r/>
            <w:r>
              <w:rPr>
                <w:b/>
              </w:rPr>
              <w:t>Назначение и правило</w:t>
            </w:r>
          </w:p>
        </w:tc>
      </w:tr>
      <w:tr>
        <w:tc>
          <w:tcPr>
            <w:tcW w:type="dxa" w:w="2041"/>
          </w:tcPr>
          <w:p>
            <w:r>
              <w:t>id</w:t>
            </w:r>
          </w:p>
        </w:tc>
        <w:tc>
          <w:tcPr>
            <w:tcW w:type="dxa" w:w="1587"/>
          </w:tcPr>
          <w:p>
            <w:r>
              <w:t>uuid</w:t>
            </w:r>
          </w:p>
        </w:tc>
        <w:tc>
          <w:tcPr>
            <w:tcW w:type="dxa" w:w="1701"/>
          </w:tcPr>
          <w:p>
            <w:r>
              <w:t>Да</w:t>
            </w:r>
          </w:p>
        </w:tc>
        <w:tc>
          <w:tcPr>
            <w:tcW w:type="dxa" w:w="9411"/>
          </w:tcPr>
          <w:p>
            <w:r>
              <w:t>Первичный ключ. Генерируется приложением</w:t>
            </w:r>
          </w:p>
        </w:tc>
      </w:tr>
      <w:tr>
        <w:tc>
          <w:tcPr>
            <w:tcW w:type="dxa" w:w="2041"/>
          </w:tcPr>
          <w:p>
            <w:r>
              <w:t>prefix</w:t>
            </w:r>
          </w:p>
        </w:tc>
        <w:tc>
          <w:tcPr>
            <w:tcW w:type="dxa" w:w="1587"/>
          </w:tcPr>
          <w:p>
            <w:r>
              <w:t>varchar(2)</w:t>
            </w:r>
          </w:p>
        </w:tc>
        <w:tc>
          <w:tcPr>
            <w:tcW w:type="dxa" w:w="1701"/>
          </w:tcPr>
          <w:p>
            <w:r>
              <w:t>Да</w:t>
            </w:r>
          </w:p>
        </w:tc>
        <w:tc>
          <w:tcPr>
            <w:tcW w:type="dxa" w:w="9411"/>
          </w:tcPr>
          <w:p>
            <w:r>
              <w:t>Код сущности. Для избранных маршрутов — FR</w:t>
            </w:r>
          </w:p>
        </w:tc>
      </w:tr>
      <w:tr>
        <w:tc>
          <w:tcPr>
            <w:tcW w:type="dxa" w:w="2041"/>
          </w:tcPr>
          <w:p>
            <w:r>
              <w:t>orgdigitid</w:t>
            </w:r>
          </w:p>
        </w:tc>
        <w:tc>
          <w:tcPr>
            <w:tcW w:type="dxa" w:w="1587"/>
          </w:tcPr>
          <w:p>
            <w:r>
              <w:t>numeric</w:t>
            </w:r>
          </w:p>
        </w:tc>
        <w:tc>
          <w:tcPr>
            <w:tcW w:type="dxa" w:w="1701"/>
          </w:tcPr>
          <w:p>
            <w:r>
              <w:t>Да</w:t>
            </w:r>
          </w:p>
        </w:tc>
        <w:tc>
          <w:tcPr>
            <w:tcW w:type="dxa" w:w="9411"/>
          </w:tcPr>
          <w:p>
            <w:r>
              <w:t>Числовой код организации (digitId, 1–9999). Берётся у организации; в favorite_route не хранится. Логическая связь с organization.digitId, внешнего ключа нет</w:t>
            </w:r>
          </w:p>
        </w:tc>
      </w:tr>
      <w:tr>
        <w:tc>
          <w:tcPr>
            <w:tcW w:type="dxa" w:w="2041"/>
          </w:tcPr>
          <w:p>
            <w:r>
              <w:t>sq</w:t>
            </w:r>
          </w:p>
        </w:tc>
        <w:tc>
          <w:tcPr>
            <w:tcW w:type="dxa" w:w="1587"/>
          </w:tcPr>
          <w:p>
            <w:r>
              <w:t>numeric</w:t>
            </w:r>
          </w:p>
        </w:tc>
        <w:tc>
          <w:tcPr>
            <w:tcW w:type="dxa" w:w="1701"/>
          </w:tcPr>
          <w:p>
            <w:r>
              <w:t>Да</w:t>
            </w:r>
          </w:p>
        </w:tc>
        <w:tc>
          <w:tcPr>
            <w:tcW w:type="dxa" w:w="9411"/>
          </w:tcPr>
          <w:p>
            <w:r>
              <w:t>Последний выданный порядковый номер в рамках пары prefix + orgdigitid</w:t>
            </w:r>
          </w:p>
        </w:tc>
      </w:tr>
      <w:tr>
        <w:tc>
          <w:tcPr>
            <w:tcW w:type="dxa" w:w="2041"/>
          </w:tcPr>
          <w:p>
            <w:r>
              <w:t>dt_insert</w:t>
            </w:r>
          </w:p>
        </w:tc>
        <w:tc>
          <w:tcPr>
            <w:tcW w:type="dxa" w:w="1587"/>
          </w:tcPr>
          <w:p>
            <w:r>
              <w:t>timestamptz</w:t>
            </w:r>
          </w:p>
        </w:tc>
        <w:tc>
          <w:tcPr>
            <w:tcW w:type="dxa" w:w="1701"/>
          </w:tcPr>
          <w:p>
            <w:r>
              <w:t>Да / now()</w:t>
            </w:r>
          </w:p>
        </w:tc>
        <w:tc>
          <w:tcPr>
            <w:tcW w:type="dxa" w:w="9411"/>
          </w:tcPr>
          <w:p>
            <w:r>
              <w:t>Дата и время создания записи</w:t>
            </w:r>
          </w:p>
        </w:tc>
      </w:tr>
      <w:tr>
        <w:tc>
          <w:tcPr>
            <w:tcW w:type="dxa" w:w="2041"/>
          </w:tcPr>
          <w:p>
            <w:r>
              <w:t>dt_modify</w:t>
            </w:r>
          </w:p>
        </w:tc>
        <w:tc>
          <w:tcPr>
            <w:tcW w:type="dxa" w:w="1587"/>
          </w:tcPr>
          <w:p>
            <w:r>
              <w:t>timestamptz</w:t>
            </w:r>
          </w:p>
        </w:tc>
        <w:tc>
          <w:tcPr>
            <w:tcW w:type="dxa" w:w="1701"/>
          </w:tcPr>
          <w:p>
            <w:r>
              <w:t>Да / now()</w:t>
            </w:r>
          </w:p>
        </w:tc>
        <w:tc>
          <w:tcPr>
            <w:tcW w:type="dxa" w:w="9411"/>
          </w:tcPr>
          <w:p>
            <w:r>
              <w:t>Дата и время изменения записи</w:t>
            </w:r>
          </w:p>
        </w:tc>
      </w:tr>
    </w:tbl>
    <w:p>
      <w:r>
        <w:t>Ограничения: уникальный индекс (prefix, orgdigitid) и уникальный индекс (prefix, orgdigitid, sq) — по образцу сервиса заявок. Внешних ключей нет. Правило работы: библиотека читает строку по prefix и orgdigitid, увеличивает sq и формирует номер вида FR-0013-00000001. Блокировки нет, поэтому при одновременном создании возможен конфликт; его ловит уникальный индекс favorite_route_number, затем повтор генерации.</w:t>
      </w:r>
    </w:p>
    <w:p>
      <w:pPr>
        <w:pStyle w:val="Heading2"/>
      </w:pPr>
      <w:r>
        <w:t>Вставки в разделы 1 и 6</w:t>
      </w:r>
    </w:p>
    <w:p>
      <w:pPr>
        <w:pStyle w:val="ListBullet"/>
      </w:pPr>
      <w:r>
        <w:t>Раздел 1, абзац про задачу T01.1: добавить в перечень «сущности favorite_route и favorite_route_history» служебную таблицу company_sq.</w:t>
      </w:r>
    </w:p>
    <w:p>
      <w:pPr>
        <w:pStyle w:val="ListBullet"/>
      </w:pPr>
      <w:r>
        <w:t>Раздел 6 (DDL): заменить фразу «Таблица счётчика … в DDL не включена» на фрагмент ниже. Строка «Генерация номера — T01.2 (Q10)» в таблице полей уточнена выше.</w:t>
      </w:r>
    </w:p>
    <w:p>
      <w:pPr>
        <w:spacing w:after="0"/>
      </w:pPr>
      <w:r>
        <w:rPr>
          <w:rFonts w:ascii="Consolas" w:hAnsi="Consolas"/>
          <w:sz w:val="17"/>
        </w:rPr>
        <w:t>CREATE TABLE favorite_route.company_sq (</w:t>
      </w:r>
    </w:p>
    <w:p>
      <w:pPr>
        <w:spacing w:after="0"/>
      </w:pPr>
      <w:r>
        <w:rPr>
          <w:rFonts w:ascii="Consolas" w:hAnsi="Consolas"/>
          <w:sz w:val="17"/>
        </w:rPr>
        <w:t xml:space="preserve">  id          uuid        PRIMARY KEY,</w:t>
      </w:r>
    </w:p>
    <w:p>
      <w:pPr>
        <w:spacing w:after="0"/>
      </w:pPr>
      <w:r>
        <w:rPr>
          <w:rFonts w:ascii="Consolas" w:hAnsi="Consolas"/>
          <w:sz w:val="17"/>
        </w:rPr>
        <w:t xml:space="preserve">  prefix      varchar(2)  NOT NULL,</w:t>
      </w:r>
    </w:p>
    <w:p>
      <w:pPr>
        <w:spacing w:after="0"/>
      </w:pPr>
      <w:r>
        <w:rPr>
          <w:rFonts w:ascii="Consolas" w:hAnsi="Consolas"/>
          <w:sz w:val="17"/>
        </w:rPr>
        <w:t xml:space="preserve">  orgdigitid  numeric     NOT NULL,</w:t>
      </w:r>
    </w:p>
    <w:p>
      <w:pPr>
        <w:spacing w:after="0"/>
      </w:pPr>
      <w:r>
        <w:rPr>
          <w:rFonts w:ascii="Consolas" w:hAnsi="Consolas"/>
          <w:sz w:val="17"/>
        </w:rPr>
        <w:t xml:space="preserve">  sq          numeric     NOT NULL,</w:t>
      </w:r>
    </w:p>
    <w:p>
      <w:pPr>
        <w:spacing w:after="0"/>
      </w:pPr>
      <w:r>
        <w:rPr>
          <w:rFonts w:ascii="Consolas" w:hAnsi="Consolas"/>
          <w:sz w:val="17"/>
        </w:rPr>
        <w:t xml:space="preserve">  dt_insert   timestamptz NOT NULL DEFAULT now(),</w:t>
      </w:r>
    </w:p>
    <w:p>
      <w:pPr>
        <w:spacing w:after="0"/>
      </w:pPr>
      <w:r>
        <w:rPr>
          <w:rFonts w:ascii="Consolas" w:hAnsi="Consolas"/>
          <w:sz w:val="17"/>
        </w:rPr>
        <w:t xml:space="preserve">  dt_modify   timestamptz NOT NULL DEFAULT now()</w:t>
      </w:r>
    </w:p>
    <w:p>
      <w:pPr>
        <w:spacing w:after="0"/>
      </w:pPr>
      <w:r>
        <w:rPr>
          <w:rFonts w:ascii="Consolas" w:hAnsi="Consolas"/>
          <w:sz w:val="17"/>
        </w:rPr>
        <w:t>);</w:t>
      </w:r>
    </w:p>
    <w:p>
      <w:pPr>
        <w:spacing w:after="0"/>
      </w:pPr>
      <w:r>
        <w:rPr>
          <w:rFonts w:ascii="Consolas" w:hAnsi="Consolas"/>
          <w:sz w:val="17"/>
        </w:rPr>
        <w:t>CREATE UNIQUE INDEX ux_company_sq_1 ON favorite_route.company_sq (prefix, orgdigitid, sq);</w:t>
      </w:r>
    </w:p>
    <w:p>
      <w:pPr>
        <w:spacing w:after="0"/>
      </w:pPr>
      <w:r>
        <w:rPr>
          <w:rFonts w:ascii="Consolas" w:hAnsi="Consolas"/>
          <w:sz w:val="17"/>
        </w:rPr>
        <w:t>CREATE UNIQUE INDEX ux_company_sq_2 ON favorite_route.company_sq (prefix, orgdigitid);</w:t>
      </w:r>
    </w:p>
    <w:p>
      <w:pPr>
        <w:spacing w:after="0"/>
      </w:pPr>
      <w:r>
        <w:rPr>
          <w:rFonts w:ascii="Consolas" w:hAnsi="Consolas"/>
          <w:sz w:val="17"/>
        </w:rPr>
        <w:t>COMMENT ON TABLE  favorite_route.company_sq            IS 'Счётчик номеров по организациям';</w:t>
      </w:r>
    </w:p>
    <w:p>
      <w:pPr>
        <w:spacing w:after="0"/>
      </w:pPr>
      <w:r>
        <w:rPr>
          <w:rFonts w:ascii="Consolas" w:hAnsi="Consolas"/>
          <w:sz w:val="17"/>
        </w:rPr>
        <w:t>COMMENT ON COLUMN favorite_route.company_sq.prefix     IS 'Код сущности (FR)';</w:t>
      </w:r>
    </w:p>
    <w:p>
      <w:pPr>
        <w:spacing w:after="0"/>
      </w:pPr>
      <w:r>
        <w:rPr>
          <w:rFonts w:ascii="Consolas" w:hAnsi="Consolas"/>
          <w:sz w:val="17"/>
        </w:rPr>
        <w:t>COMMENT ON COLUMN favorite_route.company_sq.orgdigitid IS 'Числовой код организации (digitId)';</w:t>
      </w:r>
    </w:p>
    <w:p>
      <w:pPr>
        <w:spacing w:after="0"/>
      </w:pPr>
      <w:r>
        <w:rPr>
          <w:rFonts w:ascii="Consolas" w:hAnsi="Consolas"/>
          <w:sz w:val="17"/>
        </w:rPr>
        <w:t>COMMENT ON COLUMN favorite_route.company_sq.sq         IS 'Последний выданный номер в рамках префикса и организации';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