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42F26" w:rsidRDefault="00000000">
      <w:pPr>
        <w:ind w:firstLine="567"/>
        <w:jc w:val="center"/>
        <w:rPr>
          <w:b/>
        </w:rPr>
      </w:pPr>
      <w:r>
        <w:rPr>
          <w:b/>
        </w:rPr>
        <w:t>Държавен изпит - бакалаври СИ, юли 2021 г.</w:t>
      </w:r>
    </w:p>
    <w:p w14:paraId="00000002" w14:textId="77777777" w:rsidR="00C42F26" w:rsidRDefault="00000000">
      <w:pPr>
        <w:ind w:firstLine="567"/>
        <w:jc w:val="center"/>
        <w:rPr>
          <w:b/>
        </w:rPr>
      </w:pPr>
      <w:r>
        <w:rPr>
          <w:b/>
        </w:rPr>
        <w:t xml:space="preserve">Задача АСИ </w:t>
      </w:r>
    </w:p>
    <w:p w14:paraId="00000003" w14:textId="77777777" w:rsidR="00C42F26" w:rsidRDefault="00000000">
      <w:pPr>
        <w:spacing w:after="120"/>
        <w:jc w:val="both"/>
      </w:pPr>
      <w:r>
        <w:rPr>
          <w:i/>
        </w:rPr>
        <w:t>Монитор</w:t>
      </w:r>
      <w:r>
        <w:t xml:space="preserve"> е система, която да трябва следи и да дава прогнози за качеството на въздуха. За изграждане на системата са дефинирани следните изисквания:</w:t>
      </w:r>
    </w:p>
    <w:p w14:paraId="00000004" w14:textId="77777777" w:rsidR="00C42F26" w:rsidRDefault="00000000">
      <w:pPr>
        <w:spacing w:after="120"/>
        <w:jc w:val="both"/>
      </w:pPr>
      <w:r>
        <w:t xml:space="preserve">R1. Системата </w:t>
      </w:r>
      <w:r>
        <w:rPr>
          <w:i/>
        </w:rPr>
        <w:t>Монитор</w:t>
      </w:r>
      <w:r>
        <w:t xml:space="preserve"> събира данни от измервания на ключови параметри на въздуха чрез датчици, поставени на определени места. </w:t>
      </w:r>
    </w:p>
    <w:p w14:paraId="00000005" w14:textId="77777777" w:rsidR="00C42F26" w:rsidRDefault="00000000">
      <w:pPr>
        <w:spacing w:after="120"/>
        <w:jc w:val="both"/>
      </w:pPr>
      <w:r>
        <w:t xml:space="preserve">R2. Системата </w:t>
      </w:r>
      <w:r>
        <w:rPr>
          <w:i/>
        </w:rPr>
        <w:t>Монитор</w:t>
      </w:r>
      <w:r>
        <w:t xml:space="preserve"> поддържа връзка със системата </w:t>
      </w:r>
      <w:r>
        <w:rPr>
          <w:i/>
        </w:rPr>
        <w:t>AirQ</w:t>
      </w:r>
      <w:r>
        <w:t>, която събира информация от локални измервателни станции.</w:t>
      </w:r>
    </w:p>
    <w:p w14:paraId="00000006" w14:textId="77777777" w:rsidR="00C42F26" w:rsidRDefault="00000000">
      <w:pPr>
        <w:spacing w:after="120"/>
        <w:jc w:val="both"/>
      </w:pPr>
      <w:r>
        <w:t xml:space="preserve">R3. Системата </w:t>
      </w:r>
      <w:r>
        <w:rPr>
          <w:i/>
        </w:rPr>
        <w:t>Монитор</w:t>
      </w:r>
      <w:r>
        <w:t xml:space="preserve"> визуализира on-line получените измервания. Визуализират се както измервания на системата </w:t>
      </w:r>
      <w:r>
        <w:rPr>
          <w:i/>
        </w:rPr>
        <w:t>Монитор</w:t>
      </w:r>
      <w:r>
        <w:t xml:space="preserve">, така и тези от </w:t>
      </w:r>
      <w:r>
        <w:rPr>
          <w:i/>
        </w:rPr>
        <w:t>AirQ</w:t>
      </w:r>
      <w:r>
        <w:t xml:space="preserve">. Измерванията на </w:t>
      </w:r>
      <w:r>
        <w:rPr>
          <w:i/>
        </w:rPr>
        <w:t>AirQ</w:t>
      </w:r>
      <w:r>
        <w:t xml:space="preserve"> се визуализират само след разрешение от потребител-администратор на </w:t>
      </w:r>
      <w:r>
        <w:rPr>
          <w:i/>
        </w:rPr>
        <w:t>Монитор</w:t>
      </w:r>
      <w:r>
        <w:t>.</w:t>
      </w:r>
    </w:p>
    <w:p w14:paraId="00000007" w14:textId="77777777" w:rsidR="00C42F26" w:rsidRDefault="00000000">
      <w:pPr>
        <w:spacing w:after="120"/>
        <w:jc w:val="both"/>
      </w:pPr>
      <w:r>
        <w:t xml:space="preserve">R4. </w:t>
      </w:r>
      <w:r>
        <w:rPr>
          <w:i/>
        </w:rPr>
        <w:t>Монитор</w:t>
      </w:r>
      <w:r>
        <w:t xml:space="preserve"> предоставя на потребителите си оценките за качеството на въздуха, изчислени чрез събраните от нея данни, чрез изобразяване в приложение на </w:t>
      </w:r>
      <w:r>
        <w:rPr>
          <w:i/>
        </w:rPr>
        <w:t>Google Maps</w:t>
      </w:r>
      <w:r>
        <w:t xml:space="preserve">. </w:t>
      </w:r>
    </w:p>
    <w:p w14:paraId="00000008" w14:textId="77777777" w:rsidR="00C42F26" w:rsidRDefault="00000000">
      <w:pPr>
        <w:spacing w:after="120"/>
        <w:jc w:val="both"/>
      </w:pPr>
      <w:r>
        <w:t>R5. Само регистрирани потребители имат достъп и до изчислени прогнозни стойности на отделни ключови параметри на качеството на въздуха. За целта тези потребители трябва да заплатят абонамент чрез външна система. Изборът на абонаментен план позволява прогнозите да включват 3 или 5 показателя на въздуха.</w:t>
      </w:r>
    </w:p>
    <w:p w14:paraId="00000009" w14:textId="77777777" w:rsidR="00C42F26" w:rsidRDefault="00000000">
      <w:pPr>
        <w:spacing w:after="120"/>
        <w:jc w:val="both"/>
      </w:pPr>
      <w:r>
        <w:t xml:space="preserve">Р6. Регистрираните корпоративни потребители – индустриални предприятия и градска администрация, могат да получат резултати от прогнозни модели за състоянието на въздуха за дадена локация като за целта мониторинговите данни на въздуха се интегрират с текущите метеорологични данни, получени от </w:t>
      </w:r>
      <w:r>
        <w:rPr>
          <w:i/>
        </w:rPr>
        <w:t>Националния институт по метеорология и хидрология</w:t>
      </w:r>
      <w:r>
        <w:t xml:space="preserve"> (</w:t>
      </w:r>
      <w:r>
        <w:rPr>
          <w:i/>
        </w:rPr>
        <w:t>НИМХ</w:t>
      </w:r>
      <w:r>
        <w:t>).</w:t>
      </w:r>
    </w:p>
    <w:p w14:paraId="0000000A" w14:textId="77777777" w:rsidR="00C42F26" w:rsidRDefault="00C42F26">
      <w:pPr>
        <w:jc w:val="both"/>
      </w:pPr>
    </w:p>
    <w:p w14:paraId="0000000B" w14:textId="77777777" w:rsidR="00C42F26" w:rsidRDefault="00000000">
      <w:pPr>
        <w:jc w:val="both"/>
      </w:pPr>
      <w:r>
        <w:t xml:space="preserve">Представете диаграмата на случаите на употреба на системата </w:t>
      </w:r>
      <w:r>
        <w:rPr>
          <w:i/>
        </w:rPr>
        <w:t>Монитор</w:t>
      </w:r>
      <w:r>
        <w:t>. Опишете съществуващите връзки в диаграмата.</w:t>
      </w:r>
    </w:p>
    <w:p w14:paraId="0000000C" w14:textId="13E412AD" w:rsidR="00C42F26" w:rsidRDefault="005A636C">
      <w:pPr>
        <w:jc w:val="both"/>
      </w:pPr>
      <w:r w:rsidRPr="005A636C">
        <w:lastRenderedPageBreak/>
        <w:drawing>
          <wp:inline distT="0" distB="0" distL="0" distR="0" wp14:anchorId="2FAD3198" wp14:editId="22545748">
            <wp:extent cx="4046571" cy="3604572"/>
            <wp:effectExtent l="0" t="0" r="0" b="0"/>
            <wp:docPr id="65080785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07854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1DE0" w14:textId="791E1B63" w:rsidR="000B0492" w:rsidRDefault="000B0492">
      <w:pPr>
        <w:jc w:val="both"/>
      </w:pPr>
      <w:r w:rsidRPr="000B0492">
        <w:drawing>
          <wp:inline distT="0" distB="0" distL="0" distR="0" wp14:anchorId="130DAEC3" wp14:editId="4284733D">
            <wp:extent cx="5972810" cy="2997200"/>
            <wp:effectExtent l="0" t="0" r="8890" b="0"/>
            <wp:docPr id="112122217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22172" name="Picture 1" descr="A diagram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C42F26" w:rsidRDefault="00000000">
      <w:pPr>
        <w:rPr>
          <w:b/>
        </w:rPr>
      </w:pPr>
      <w:r>
        <w:rPr>
          <w:b/>
        </w:rPr>
        <w:t xml:space="preserve">ДИ август, 2020    </w:t>
      </w:r>
    </w:p>
    <w:p w14:paraId="0000000E" w14:textId="77777777" w:rsidR="00C42F26" w:rsidRDefault="00000000">
      <w:pPr>
        <w:jc w:val="both"/>
      </w:pPr>
      <w:r>
        <w:t xml:space="preserve">Софтуерна система свързва потребители и застрахователна брокерска компания за сключване на застраховка Гражданска отговорност (ГО). Системата работи и с оператори, които са оторизирани представители на застрахователни дружества. </w:t>
      </w:r>
    </w:p>
    <w:p w14:paraId="0000000F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През системата нерегистриран потребител има възможност да поиска оферта за ГО.</w:t>
      </w:r>
    </w:p>
    <w:p w14:paraId="00000010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За генериране на оферта за ГО от потребителя се изискват данни за превозното средство (марка, модел, година, номер, мощност), както и данни за шофьора (име, телефон, № на шофьорска книжа).</w:t>
      </w:r>
    </w:p>
    <w:p w14:paraId="00000011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lastRenderedPageBreak/>
        <w:t>При генериране на оферта за ГО се прави справка в системата на МВР за нарушения на шофьора.</w:t>
      </w:r>
    </w:p>
    <w:p w14:paraId="00000012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Нерегистриран потребител може да сключи онлайн ГО след електронно заплащане на съответната сума.</w:t>
      </w:r>
    </w:p>
    <w:p w14:paraId="00000013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Системата поддържа плащане с ePay и банкова карта.</w:t>
      </w:r>
    </w:p>
    <w:p w14:paraId="00000014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При сключване на ГО е необходим електронен подпис на шофьора, като за целта се извършва проверка за валидност в националната система за електрони подписи.</w:t>
      </w:r>
    </w:p>
    <w:p w14:paraId="00000015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Системата дава възможност на потребителите да се регистрират чрез имейл адрес и парола.</w:t>
      </w:r>
    </w:p>
    <w:p w14:paraId="00000016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Регистрираните потребители получават 10% отстъпка при сключване на три и повече ГО чрез системата.</w:t>
      </w:r>
    </w:p>
    <w:p w14:paraId="00000017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Регистриран потребител може да поиска SMS напомняне от системата за изтичане на ГО.</w:t>
      </w:r>
    </w:p>
    <w:p w14:paraId="00000018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Операторите се оторизират в системата, използвайки корпоративната система на съответното застрахователно дружество.</w:t>
      </w:r>
    </w:p>
    <w:p w14:paraId="00000019" w14:textId="77777777" w:rsidR="00C42F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Оператор има право да променя параметрите на генерираните оферти.</w:t>
      </w:r>
    </w:p>
    <w:p w14:paraId="0000001A" w14:textId="77777777" w:rsidR="00C42F26" w:rsidRDefault="00C42F2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16"/>
          <w:szCs w:val="16"/>
        </w:rPr>
      </w:pPr>
    </w:p>
    <w:p w14:paraId="0000001B" w14:textId="77777777" w:rsidR="00C42F26" w:rsidRDefault="00000000">
      <w:pPr>
        <w:jc w:val="both"/>
      </w:pPr>
      <w:r>
        <w:t>Съставете диаграма на случаите на употреба (Use Case) на системата за дадените изисквания. Отбележете съществуващите връзки между потребителските случаи.</w:t>
      </w:r>
    </w:p>
    <w:p w14:paraId="68F17620" w14:textId="7A3B65C0" w:rsidR="002036D9" w:rsidRDefault="002036D9">
      <w:pPr>
        <w:jc w:val="both"/>
      </w:pPr>
      <w:r w:rsidRPr="002036D9">
        <w:lastRenderedPageBreak/>
        <w:drawing>
          <wp:inline distT="0" distB="0" distL="0" distR="0" wp14:anchorId="55831DF3" wp14:editId="2220D2BD">
            <wp:extent cx="5082980" cy="3520745"/>
            <wp:effectExtent l="0" t="0" r="3810" b="3810"/>
            <wp:docPr id="128360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00419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6D9">
        <w:drawing>
          <wp:inline distT="0" distB="0" distL="0" distR="0" wp14:anchorId="53BB78D3" wp14:editId="5A171D14">
            <wp:extent cx="5041067" cy="3433108"/>
            <wp:effectExtent l="0" t="0" r="7620" b="0"/>
            <wp:docPr id="192968299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2995" name="Picture 1" descr="A diagram of a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067" cy="343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C42F26" w:rsidRDefault="00C42F26">
      <w:pPr>
        <w:spacing w:after="120"/>
        <w:rPr>
          <w:b/>
        </w:rPr>
      </w:pPr>
    </w:p>
    <w:p w14:paraId="0000001D" w14:textId="77777777" w:rsidR="00C42F26" w:rsidRDefault="00000000">
      <w:pPr>
        <w:spacing w:after="120"/>
      </w:pPr>
      <w:bookmarkStart w:id="0" w:name="_heading=h.gjdgxs" w:colFirst="0" w:colLast="0"/>
      <w:bookmarkEnd w:id="0"/>
      <w:r>
        <w:rPr>
          <w:b/>
        </w:rPr>
        <w:t xml:space="preserve">ДИ,   </w:t>
      </w:r>
      <w:r>
        <w:t>юли, 2019</w:t>
      </w:r>
    </w:p>
    <w:p w14:paraId="0000001E" w14:textId="77777777" w:rsidR="00C42F26" w:rsidRDefault="00000000">
      <w:pPr>
        <w:pBdr>
          <w:top w:val="nil"/>
          <w:left w:val="nil"/>
          <w:bottom w:val="nil"/>
          <w:right w:val="nil"/>
          <w:between w:val="nil"/>
        </w:pBdr>
        <w:ind w:left="567" w:hanging="567"/>
        <w:jc w:val="both"/>
        <w:rPr>
          <w:color w:val="000000"/>
        </w:rPr>
      </w:pPr>
      <w:r>
        <w:rPr>
          <w:color w:val="000000"/>
        </w:rPr>
        <w:t>Софтуерна система организира корабоплаването по река Дунав като следи и управлява движението на пътнически и товарни кораби.</w:t>
      </w:r>
    </w:p>
    <w:p w14:paraId="0000001F" w14:textId="77777777" w:rsidR="00C42F2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left="567"/>
        <w:jc w:val="both"/>
        <w:rPr>
          <w:color w:val="000000"/>
        </w:rPr>
      </w:pPr>
      <w:r>
        <w:rPr>
          <w:color w:val="000000"/>
        </w:rPr>
        <w:t>R1. Системата изисква всички плавателните съдове, които тя обслужва, да се регистрират в нея като регистрацията налага електронно банково заплащане на такса.</w:t>
      </w:r>
    </w:p>
    <w:p w14:paraId="00000020" w14:textId="77777777" w:rsidR="00C42F2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color w:val="000000"/>
        </w:rPr>
      </w:pPr>
      <w:r>
        <w:rPr>
          <w:color w:val="000000"/>
        </w:rPr>
        <w:lastRenderedPageBreak/>
        <w:t>R2. Чрез системата отговорните институции на Дунавските страни съгласуват разписанията на регистрираните пътнически кораби и съгласуваните разписанията се предоставят на съответните кораби.</w:t>
      </w:r>
    </w:p>
    <w:p w14:paraId="00000021" w14:textId="77777777" w:rsidR="00C42F2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color w:val="000000"/>
        </w:rPr>
      </w:pPr>
      <w:r>
        <w:rPr>
          <w:color w:val="000000"/>
        </w:rPr>
        <w:t>R3. Чрез системата отговорните институции на Дунавските страни могат да променят разписанието на пътническите кораби два пъти в годината.</w:t>
      </w:r>
    </w:p>
    <w:p w14:paraId="00000022" w14:textId="77777777" w:rsidR="00C42F2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color w:val="000000"/>
        </w:rPr>
      </w:pPr>
      <w:r>
        <w:rPr>
          <w:color w:val="000000"/>
        </w:rPr>
        <w:t>R4. Софтуерната система управлява регистрираните кораби като следи чрез сателит и записва местоположението, а при необходимост и налага корекция в движението им.</w:t>
      </w:r>
    </w:p>
    <w:p w14:paraId="00000023" w14:textId="77777777" w:rsidR="00C42F2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color w:val="000000"/>
        </w:rPr>
      </w:pPr>
      <w:r>
        <w:rPr>
          <w:color w:val="000000"/>
        </w:rPr>
        <w:t>R5. Чрез системата регистрираните кораби могат да получат информация, а при желание от тях и картина от  местоположението на други регистрирани кораби.</w:t>
      </w:r>
    </w:p>
    <w:p w14:paraId="00000024" w14:textId="77777777" w:rsidR="00C42F26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color w:val="000000"/>
        </w:rPr>
      </w:pPr>
      <w:r>
        <w:rPr>
          <w:color w:val="000000"/>
        </w:rPr>
        <w:t>R6. Системата ежедневно информира за състоянието на водата като за целта събира информация от сензорни системи за нивото и замърсяването на водата в отделните участъци на реката, съхранява тази информация и я изпраща до регистрираните кораби, а в случай на измервания извън нормите и до съответните институции на Дунавските страни.</w:t>
      </w:r>
    </w:p>
    <w:p w14:paraId="00000025" w14:textId="77777777" w:rsidR="00C42F26" w:rsidRDefault="00C42F26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color w:val="000000"/>
        </w:rPr>
      </w:pPr>
    </w:p>
    <w:p w14:paraId="00000026" w14:textId="77777777" w:rsidR="00C42F26" w:rsidRDefault="00000000">
      <w:pPr>
        <w:spacing w:after="0" w:line="240" w:lineRule="auto"/>
        <w:ind w:left="567"/>
        <w:jc w:val="both"/>
      </w:pPr>
      <w:r>
        <w:t>Съставете диаграма на потребителските случаи (Use Case) по дадените изисквания. Отбележете връзките между потребителските случаи и обосновете тяхното използване в диаграмата.</w:t>
      </w:r>
    </w:p>
    <w:p w14:paraId="00000027" w14:textId="77777777" w:rsidR="00C42F26" w:rsidRDefault="00C42F26">
      <w:pPr>
        <w:jc w:val="both"/>
      </w:pPr>
    </w:p>
    <w:p w14:paraId="00000028" w14:textId="77777777" w:rsidR="00C42F26" w:rsidRDefault="00C42F26">
      <w:pPr>
        <w:jc w:val="both"/>
      </w:pPr>
    </w:p>
    <w:sectPr w:rsidR="00C42F26">
      <w:pgSz w:w="12240" w:h="15840"/>
      <w:pgMar w:top="993" w:right="1417" w:bottom="851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6089B"/>
    <w:multiLevelType w:val="multilevel"/>
    <w:tmpl w:val="B05C4CD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87B7D82"/>
    <w:multiLevelType w:val="multilevel"/>
    <w:tmpl w:val="78D4E8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870180">
    <w:abstractNumId w:val="1"/>
  </w:num>
  <w:num w:numId="2" w16cid:durableId="402684045">
    <w:abstractNumId w:val="0"/>
  </w:num>
  <w:num w:numId="3" w16cid:durableId="398214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3344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F26"/>
    <w:rsid w:val="000B0492"/>
    <w:rsid w:val="002036D9"/>
    <w:rsid w:val="005A636C"/>
    <w:rsid w:val="00BE0CFE"/>
    <w:rsid w:val="00C4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4E35"/>
  <w15:docId w15:val="{0F83C7F1-0306-4313-A205-0ECB365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C82"/>
  </w:style>
  <w:style w:type="paragraph" w:styleId="Heading1">
    <w:name w:val="heading 1"/>
    <w:basedOn w:val="Normal"/>
    <w:next w:val="Normal"/>
    <w:link w:val="Heading1Char"/>
    <w:uiPriority w:val="9"/>
    <w:qFormat/>
    <w:rsid w:val="002D3C82"/>
    <w:pPr>
      <w:keepNext/>
      <w:keepLines/>
      <w:numPr>
        <w:numId w:val="2"/>
      </w:numPr>
      <w:suppressAutoHyphens/>
      <w:spacing w:before="480" w:after="12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  <w:lang w:val="en-GB"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C82"/>
    <w:pPr>
      <w:keepNext/>
      <w:keepLines/>
      <w:suppressAutoHyphens/>
      <w:spacing w:before="360" w:after="240" w:line="240" w:lineRule="auto"/>
      <w:ind w:left="720"/>
      <w:outlineLvl w:val="1"/>
    </w:pPr>
    <w:rPr>
      <w:rFonts w:ascii="Times New Roman" w:eastAsia="Times New Roman" w:hAnsi="Times New Roman" w:cs="Times New Roman"/>
      <w:b/>
      <w:sz w:val="24"/>
      <w:szCs w:val="20"/>
      <w:lang w:eastAsia="de-D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C82"/>
    <w:pPr>
      <w:keepNext/>
      <w:keepLines/>
      <w:numPr>
        <w:ilvl w:val="2"/>
        <w:numId w:val="3"/>
      </w:numPr>
      <w:spacing w:before="240" w:after="240" w:line="240" w:lineRule="auto"/>
      <w:outlineLvl w:val="2"/>
    </w:pPr>
    <w:rPr>
      <w:rFonts w:ascii="Times New Roman" w:eastAsia="Times New Roman" w:hAnsi="Times New Roman" w:cs="Times New Roman"/>
      <w:b/>
      <w:sz w:val="24"/>
      <w:szCs w:val="20"/>
      <w:lang w:val="en-GB" w:eastAsia="de-DE"/>
    </w:rPr>
  </w:style>
  <w:style w:type="paragraph" w:styleId="Heading4">
    <w:name w:val="heading 4"/>
    <w:aliases w:val="heading 4"/>
    <w:basedOn w:val="Normal"/>
    <w:next w:val="Normal"/>
    <w:link w:val="Heading4Char"/>
    <w:uiPriority w:val="9"/>
    <w:semiHidden/>
    <w:unhideWhenUsed/>
    <w:qFormat/>
    <w:rsid w:val="002D3C82"/>
    <w:pPr>
      <w:keepNext/>
      <w:numPr>
        <w:ilvl w:val="3"/>
        <w:numId w:val="3"/>
      </w:numPr>
      <w:spacing w:before="240" w:after="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val="en-GB" w:eastAsia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C82"/>
    <w:pPr>
      <w:numPr>
        <w:ilvl w:val="4"/>
        <w:numId w:val="3"/>
      </w:numPr>
      <w:spacing w:before="240" w:after="60" w:line="240" w:lineRule="auto"/>
      <w:jc w:val="both"/>
      <w:outlineLvl w:val="4"/>
    </w:pPr>
    <w:rPr>
      <w:rFonts w:ascii="Arial" w:eastAsia="Times New Roman" w:hAnsi="Arial" w:cs="Times New Roman"/>
      <w:sz w:val="24"/>
      <w:szCs w:val="20"/>
      <w:lang w:val="en-GB" w:eastAsia="de-D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C82"/>
    <w:pPr>
      <w:numPr>
        <w:ilvl w:val="5"/>
        <w:numId w:val="3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 w:val="24"/>
      <w:szCs w:val="20"/>
      <w:lang w:val="en-GB" w:eastAsia="de-DE"/>
    </w:rPr>
  </w:style>
  <w:style w:type="paragraph" w:styleId="Heading7">
    <w:name w:val="heading 7"/>
    <w:basedOn w:val="Normal"/>
    <w:next w:val="Normal"/>
    <w:link w:val="Heading7Char"/>
    <w:qFormat/>
    <w:rsid w:val="002D3C82"/>
    <w:pPr>
      <w:numPr>
        <w:ilvl w:val="6"/>
        <w:numId w:val="3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 w:eastAsia="de-DE"/>
    </w:rPr>
  </w:style>
  <w:style w:type="paragraph" w:styleId="Heading8">
    <w:name w:val="heading 8"/>
    <w:basedOn w:val="Normal"/>
    <w:next w:val="Normal"/>
    <w:link w:val="Heading8Char"/>
    <w:qFormat/>
    <w:rsid w:val="002D3C82"/>
    <w:pPr>
      <w:numPr>
        <w:ilvl w:val="7"/>
        <w:numId w:val="3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 w:eastAsia="de-DE"/>
    </w:rPr>
  </w:style>
  <w:style w:type="paragraph" w:styleId="Heading9">
    <w:name w:val="heading 9"/>
    <w:basedOn w:val="Normal"/>
    <w:next w:val="Normal"/>
    <w:link w:val="Heading9Char"/>
    <w:qFormat/>
    <w:rsid w:val="002D3C82"/>
    <w:pPr>
      <w:numPr>
        <w:ilvl w:val="8"/>
        <w:numId w:val="4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24"/>
      <w:szCs w:val="20"/>
      <w:lang w:val="en-GB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D3C82"/>
    <w:rPr>
      <w:rFonts w:ascii="Times New Roman" w:eastAsia="Times New Roman" w:hAnsi="Times New Roman" w:cs="Times New Roman"/>
      <w:b/>
      <w:sz w:val="24"/>
      <w:szCs w:val="20"/>
      <w:lang w:val="en-GB" w:eastAsia="de-DE"/>
    </w:rPr>
  </w:style>
  <w:style w:type="character" w:customStyle="1" w:styleId="Heading2Char">
    <w:name w:val="Heading 2 Char"/>
    <w:basedOn w:val="DefaultParagraphFont"/>
    <w:link w:val="Heading2"/>
    <w:rsid w:val="002D3C82"/>
    <w:rPr>
      <w:rFonts w:ascii="Times New Roman" w:eastAsia="Times New Roman" w:hAnsi="Times New Roman" w:cs="Times New Roman"/>
      <w:b/>
      <w:sz w:val="24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rsid w:val="002D3C82"/>
    <w:rPr>
      <w:rFonts w:ascii="Times New Roman" w:eastAsia="Times New Roman" w:hAnsi="Times New Roman" w:cs="Times New Roman"/>
      <w:b/>
      <w:sz w:val="24"/>
      <w:szCs w:val="20"/>
      <w:lang w:val="en-GB" w:eastAsia="de-DE"/>
    </w:rPr>
  </w:style>
  <w:style w:type="character" w:customStyle="1" w:styleId="Heading4Char">
    <w:name w:val="Heading 4 Char"/>
    <w:aliases w:val="heading 4 Char"/>
    <w:basedOn w:val="DefaultParagraphFont"/>
    <w:link w:val="Heading4"/>
    <w:rsid w:val="002D3C82"/>
    <w:rPr>
      <w:rFonts w:ascii="Arial" w:eastAsia="Times New Roman" w:hAnsi="Arial" w:cs="Times New Roman"/>
      <w:sz w:val="24"/>
      <w:szCs w:val="20"/>
      <w:lang w:val="en-GB" w:eastAsia="de-DE"/>
    </w:rPr>
  </w:style>
  <w:style w:type="character" w:customStyle="1" w:styleId="Heading5Char">
    <w:name w:val="Heading 5 Char"/>
    <w:basedOn w:val="DefaultParagraphFont"/>
    <w:link w:val="Heading5"/>
    <w:rsid w:val="002D3C82"/>
    <w:rPr>
      <w:rFonts w:ascii="Arial" w:eastAsia="Times New Roman" w:hAnsi="Arial" w:cs="Times New Roman"/>
      <w:sz w:val="24"/>
      <w:szCs w:val="20"/>
      <w:lang w:val="en-GB" w:eastAsia="de-DE"/>
    </w:rPr>
  </w:style>
  <w:style w:type="character" w:customStyle="1" w:styleId="Heading6Char">
    <w:name w:val="Heading 6 Char"/>
    <w:basedOn w:val="DefaultParagraphFont"/>
    <w:link w:val="Heading6"/>
    <w:rsid w:val="002D3C82"/>
    <w:rPr>
      <w:rFonts w:ascii="Arial" w:eastAsia="Times New Roman" w:hAnsi="Arial" w:cs="Times New Roman"/>
      <w:i/>
      <w:sz w:val="24"/>
      <w:szCs w:val="20"/>
      <w:lang w:val="en-GB" w:eastAsia="de-DE"/>
    </w:rPr>
  </w:style>
  <w:style w:type="character" w:customStyle="1" w:styleId="Heading7Char">
    <w:name w:val="Heading 7 Char"/>
    <w:basedOn w:val="DefaultParagraphFont"/>
    <w:link w:val="Heading7"/>
    <w:rsid w:val="002D3C82"/>
    <w:rPr>
      <w:rFonts w:ascii="Arial" w:eastAsia="Times New Roman" w:hAnsi="Arial" w:cs="Times New Roman"/>
      <w:sz w:val="20"/>
      <w:szCs w:val="20"/>
      <w:lang w:val="en-GB" w:eastAsia="de-DE"/>
    </w:rPr>
  </w:style>
  <w:style w:type="character" w:customStyle="1" w:styleId="Heading8Char">
    <w:name w:val="Heading 8 Char"/>
    <w:basedOn w:val="DefaultParagraphFont"/>
    <w:link w:val="Heading8"/>
    <w:rsid w:val="002D3C82"/>
    <w:rPr>
      <w:rFonts w:ascii="Arial" w:eastAsia="Times New Roman" w:hAnsi="Arial" w:cs="Times New Roman"/>
      <w:i/>
      <w:sz w:val="20"/>
      <w:szCs w:val="20"/>
      <w:lang w:val="en-GB" w:eastAsia="de-DE"/>
    </w:rPr>
  </w:style>
  <w:style w:type="character" w:customStyle="1" w:styleId="Heading9Char">
    <w:name w:val="Heading 9 Char"/>
    <w:basedOn w:val="DefaultParagraphFont"/>
    <w:link w:val="Heading9"/>
    <w:rsid w:val="002D3C82"/>
    <w:rPr>
      <w:rFonts w:ascii="Arial" w:eastAsia="Times New Roman" w:hAnsi="Arial" w:cs="Times New Roman"/>
      <w:i/>
      <w:sz w:val="24"/>
      <w:szCs w:val="20"/>
      <w:lang w:val="en-GB" w:eastAsia="de-D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2D3C82"/>
    <w:pPr>
      <w:spacing w:line="240" w:lineRule="auto"/>
      <w:ind w:firstLine="709"/>
      <w:jc w:val="center"/>
    </w:pPr>
    <w:rPr>
      <w:rFonts w:ascii="Times New Roman" w:hAnsi="Times New Roman"/>
      <w:bCs/>
      <w:sz w:val="24"/>
      <w:szCs w:val="18"/>
    </w:rPr>
  </w:style>
  <w:style w:type="character" w:styleId="Strong">
    <w:name w:val="Strong"/>
    <w:basedOn w:val="DefaultParagraphFont"/>
    <w:uiPriority w:val="22"/>
    <w:qFormat/>
    <w:rsid w:val="002D3C82"/>
    <w:rPr>
      <w:b/>
      <w:bCs/>
    </w:rPr>
  </w:style>
  <w:style w:type="paragraph" w:styleId="ListParagraph">
    <w:name w:val="List Paragraph"/>
    <w:basedOn w:val="Normal"/>
    <w:uiPriority w:val="34"/>
    <w:qFormat/>
    <w:rsid w:val="002D3C82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lY70Vg/vVJDxJ4P88QlA0D91rw==">AMUW2mXVyAqDkf3r5eXdZpWMKhudDplAkEcQQRBY7eMODLd9Lr4bSp/Yod4C2y2c/ksZdcf4FoFUfXHjAoTjX06cqcDcFC+RZysFZ2cgxT19xtSEKNDYfhaC+pf0kxMlFwAdtdpAD8ua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Atanas Vasilev</cp:lastModifiedBy>
  <cp:revision>2</cp:revision>
  <dcterms:created xsi:type="dcterms:W3CDTF">2021-08-31T19:39:00Z</dcterms:created>
  <dcterms:modified xsi:type="dcterms:W3CDTF">2024-04-30T12:14:00Z</dcterms:modified>
</cp:coreProperties>
</file>