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Яна Тимофеева</w:t>
      </w:r>
    </w:p>
    <w:p>
      <w:pPr>
        <w:pStyle w:val="Subtitle"/>
      </w:pPr>
      <w:r>
        <w:t xml:space="preserve">C-level лидер | розничный банкинг, финтех и платежная инфраструктура</w:t>
      </w:r>
    </w:p>
    <w:p>
      <w:r>
        <w:t xml:space="preserve">BUILD / TRANSFORM / LEAD: запуск бизнес-направлений, трансформация продуктовых моделей, управление крупными программами изменений</w:t>
      </w:r>
    </w:p>
    <w:p>
      <w:r>
        <w:t xml:space="preserve">Москва · +7 (903) 725-82-18 · ia.timofeeva@yandex.ru</w:t>
      </w:r>
    </w:p>
    <w:p>
      <w:pPr>
        <w:pStyle w:val="Heading1"/>
      </w:pPr>
      <w:r>
        <w:t xml:space="preserve">Профиль</w:t>
      </w:r>
    </w:p>
    <w:p>
      <w:r>
        <w:t xml:space="preserve">Бизнес-лидер с 20+ годами опыта в крупнейших финансовых организациях России. Отвечаю за розничные направления, запуск новых продуктов, клиентский рост, партнерскую дистрибуцию, технологические миграции и федеральные проекты на стыке бизнеса, IT, операций, маркетинга, продаж и регуляторного контура.</w:t>
      </w:r>
    </w:p>
    <w:p>
      <w:r>
        <w:t xml:space="preserve">Моя ценность - быстро соединить стратегию, экономику продукта, операционную модель и delivery в измеримый результат: запустить направление с нуля, перестроить действующую модель или провести сложную программу без потери клиентского опыта.</w:t>
      </w:r>
    </w:p>
    <w:p>
      <w:pPr>
        <w:pStyle w:val="Heading1"/>
      </w:pPr>
      <w:r>
        <w:t xml:space="preserve">Управленческий фокус и примеры результата</w:t>
      </w:r>
    </w:p>
    <w:p>
      <w:pPr>
        <w:pStyle w:val="Heading2"/>
      </w:pPr>
      <w:r>
        <w:t xml:space="preserve">BUILD - запуск самостоятельных бизнес-направлений</w:t>
      </w:r>
    </w:p>
    <w:p>
      <w:r>
        <w:t xml:space="preserve">Запуск направления с нуля: рынок, бизнес-модель, продуктовый ряд, каналы продаж, партнерства и экономика окупаемости.</w:t>
      </w:r>
    </w:p>
    <w:p>
      <w:r>
        <w:t xml:space="preserve">Крупные метрики: АКБ +11% · 2,1 млн · AUM +35% · отток - в 3 раза · №1 / 88% NTB · 36 месяц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ФК Банк ОТКРЫТИЕ: запуск пассивного и расчетного бизнеса (депозитные, инвестиционные и страховые продукты, дебетовые карты, зарплатные проекты). При смене бизнес-модели на доходный бизнес и одновременном ухудшении ценовых параметров продуктового ряда удалось нарастить АКБ на 11%  до 2,1 млн. клиентов  с одновременным замещением качества клиентского сегмента (рост среднего AUM на 35%, сокращение транзакционного оттока в 3 раза, вывод РКО  на самоокупаемость). Итоговая рыночная позиция: №5 (+3пп) по портфелю пассивов и АКБ</w:t>
      </w:r>
    </w:p>
    <w:p>
      <w:pPr>
        <w:numPr>
          <w:ilvl w:val="0"/>
          <w:numId w:val="1"/>
        </w:numPr>
      </w:pPr>
      <w:r>
        <w:t xml:space="preserve">ВТБ24: Запуск Автокредитования. Выстроена stand-alone бизнес-модель с собственной и партнерской сетью дистрибуции, обеспечивающая приток 25% клиентов розничного бизнеса (88% NTB). Бизнес в прибыли с 36 месяца с момента запуска. Итоговая рыночная позиция: №1  по кредитному портфелю</w:t>
      </w:r>
    </w:p>
    <w:p>
      <w:pPr>
        <w:pStyle w:val="Heading2"/>
      </w:pPr>
      <w:r>
        <w:t xml:space="preserve">TRANSFORM - корректировка существующей модели</w:t>
      </w:r>
    </w:p>
    <w:p>
      <w:r>
        <w:t xml:space="preserve">Пересборка стратегии, экономики привлечения, продукта, дистрибуции, IT и операционной модели в работающем контуре банка.</w:t>
      </w:r>
    </w:p>
    <w:p>
      <w:r>
        <w:t xml:space="preserve">Крупные метрики: №2 по АКБ · 25 млн · +25% YoY · IT-трансформация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ВТБ Дебетовые карты и расчетные продукты: Скорректирована стратегия под наращивание клиентской базы, определены инструменты и стоимость привлечения, найдены источники финансирования. Внедрены продуктовые, маркетинговые, дистрибуционные изменения одновременно с масштабной ИТ-трансформацией. Итоговая рыночная позиция: №2 по АКБ, 25 млн. клиентов (рост +25% YoY)</w:t>
      </w:r>
    </w:p>
    <w:p>
      <w:pPr>
        <w:pStyle w:val="Heading2"/>
      </w:pPr>
      <w:r>
        <w:t xml:space="preserve">LEAD - сложные программы с большим количеством участников</w:t>
      </w:r>
    </w:p>
    <w:p>
      <w:r>
        <w:t xml:space="preserve">Управление программами, где нужно синхронизировать бизнес, IT, операции, продажи, маркетинг, регулятора и внешних партнеров.</w:t>
      </w:r>
    </w:p>
    <w:p>
      <w:r>
        <w:t xml:space="preserve">Крупные метрики: 1,5 млн / 8 · 20 млн · 2 млн / 8 мес. · SDN · Agile</w:t>
      </w:r>
    </w:p>
    <w:p>
      <w:r>
        <w:t xml:space="preserve">Примеры:</w:t>
      </w:r>
    </w:p>
    <w:p>
      <w:pPr>
        <w:numPr>
          <w:ilvl w:val="0"/>
          <w:numId w:val="1"/>
        </w:numPr>
      </w:pPr>
      <w:r>
        <w:t xml:space="preserve">ФК Банк Открытие: - бизнес и технологическая миграция  1.5 млн. клиентов на различных продуктовых линейках на 8 процессингах  без оттока клиентов.
- переход  структуры управления и разработки на Agile. Создание Трайбов, старт управления ИТ-командами.
- управление первой волной SDN, отключение платежных систем, международных расчетов, синхронизация всех подразделений банка и регулятора для взаимодействия с клиентами в условиях отсутствия внешних и внутренних процедур. Урегулирование требований к платежным системам. Изменение правил логистики и персонализации, управление стоками пластика в условиях дефицита чипов.</w:t>
      </w:r>
    </w:p>
    <w:p>
      <w:pPr>
        <w:numPr>
          <w:ilvl w:val="0"/>
          <w:numId w:val="1"/>
        </w:numPr>
      </w:pPr>
      <w:r>
        <w:t xml:space="preserve">ВТБ: - импортозамещение, бесшовная замена процессинга для 20 млн действующих клиентов  без простоя в операциях.
- федеральный проект по миграции 2 млн детей с Пушкинскими картами за 8 месяцев (концепция, разработка продукта, разработка процесса миграции, тех.интеграции с регулятором, нормативная база, бесшовное переключение)</w:t>
      </w:r>
    </w:p>
    <w:p>
      <w:pPr>
        <w:pStyle w:val="Heading1"/>
      </w:pPr>
      <w:r>
        <w:t xml:space="preserve">Зоны практической экспертизы</w:t>
      </w:r>
    </w:p>
    <w:p>
      <w:r>
        <w:t xml:space="preserve">Retail business and P&amp;L — 100% [##########]</w:t>
      </w:r>
    </w:p>
    <w:p>
      <w:r>
        <w:t xml:space="preserve">Products and growth — 100% [##########]</w:t>
      </w:r>
    </w:p>
    <w:p>
      <w:r>
        <w:t xml:space="preserve">Channels and partnerships — 100% [##########]</w:t>
      </w:r>
    </w:p>
    <w:p>
      <w:r>
        <w:t xml:space="preserve">Technology and delivery — 80% [########--]</w:t>
      </w:r>
    </w:p>
    <w:p>
      <w:r>
        <w:t xml:space="preserve">Regulatory — 70% [#######---]</w:t>
      </w:r>
    </w:p>
    <w:p>
      <w:pPr>
        <w:pStyle w:val="Heading1"/>
      </w:pPr>
      <w:r>
        <w:t xml:space="preserve">Образование и языки</w:t>
      </w:r>
    </w:p>
    <w:p>
      <w:r>
        <w:t xml:space="preserve">МГОУ, Москва, 1998 - Менеджмент и экономическая политика, менеджер.</w:t>
      </w:r>
    </w:p>
    <w:p>
      <w:r>
        <w:t xml:space="preserve">Языки: русский - родной; английский - C2; испанский - базовый.</w:t>
      </w:r>
    </w:p>
    <w:p>
      <w:r>
        <w:br w:type="page"/>
      </w:r>
    </w:p>
    <w:p>
      <w:pPr>
        <w:pStyle w:val="Heading1"/>
      </w:pPr>
      <w:r>
        <w:t xml:space="preserve">Избранный опыт и достижения</w:t>
      </w:r>
    </w:p>
    <w:p>
      <w:pPr>
        <w:pStyle w:val="Heading2"/>
      </w:pPr>
      <w:r>
        <w:t xml:space="preserve">ВТБ</w:t>
      </w:r>
    </w:p>
    <w:p>
      <w:r>
        <w:t xml:space="preserve">Дебетовые карты, расчетные продукты, процессинг, федеральные программы · [актуальная должность и период после 2022 - уточнить]</w:t>
      </w:r>
    </w:p>
    <w:p>
      <w:pPr>
        <w:numPr>
          <w:ilvl w:val="0"/>
          <w:numId w:val="1"/>
        </w:numPr>
      </w:pPr>
      <w:r>
        <w:t xml:space="preserve">Скорректировала стратегию дебетовых карт и расчетных продуктов под рост активной клиентской базы: определены инструменты и стоимость привлечения, найдены источники финансирования.</w:t>
      </w:r>
    </w:p>
    <w:p>
      <w:pPr>
        <w:numPr>
          <w:ilvl w:val="0"/>
          <w:numId w:val="1"/>
        </w:numPr>
      </w:pPr>
      <w:r>
        <w:t xml:space="preserve">Реализовала продуктовые, маркетинговые и дистрибуционные изменения одновременно с масштабной IT-трансформацией.</w:t>
      </w:r>
    </w:p>
    <w:p>
      <w:pPr>
        <w:numPr>
          <w:ilvl w:val="0"/>
          <w:numId w:val="1"/>
        </w:numPr>
      </w:pPr>
      <w:r>
        <w:t xml:space="preserve">Достигнута рыночная позиция N2 по активной клиентской базе: 25 млн клиентов, рост +25% YoY.</w:t>
      </w:r>
    </w:p>
    <w:p>
      <w:pPr>
        <w:numPr>
          <w:ilvl w:val="0"/>
          <w:numId w:val="1"/>
        </w:numPr>
      </w:pPr>
      <w:r>
        <w:t xml:space="preserve">Проведено импортозамещение и бесшовная замена процессинга для 20 млн действующих клиентов без простоя в операциях.</w:t>
      </w:r>
    </w:p>
    <w:p>
      <w:pPr>
        <w:numPr>
          <w:ilvl w:val="0"/>
          <w:numId w:val="1"/>
        </w:numPr>
      </w:pPr>
      <w:r>
        <w:t xml:space="preserve">Реализован федеральный проект по миграции 2 млн детей с Пушкинскими картами за 8 месяцев: концепция, продукт, процесс миграции, технологические интеграции с регулятором, нормативная база и бесшовное переключение.</w:t>
      </w:r>
    </w:p>
    <w:p>
      <w:pPr>
        <w:pStyle w:val="Heading2"/>
      </w:pPr>
      <w:r>
        <w:t xml:space="preserve">ФК Банк Открытие</w:t>
      </w:r>
    </w:p>
    <w:p>
      <w:r>
        <w:t xml:space="preserve">Лидер Трайба Ежедневный Банкинг / Директор департамента сберегательных и комиссионных продуктов · Январь 2021 - после декабря 2022; Февраль 2018 - Декабрь 2020</w:t>
      </w:r>
    </w:p>
    <w:p>
      <w:pPr>
        <w:numPr>
          <w:ilvl w:val="0"/>
          <w:numId w:val="1"/>
        </w:numPr>
      </w:pPr>
      <w:r>
        <w:t xml:space="preserve">Развивала направление ежедневного банкинга: дебетовые и зарплатные карты, РКО; ключевая задача - рост клиентской базы через закрытие daily-потребностей клиентов.</w:t>
      </w:r>
    </w:p>
    <w:p>
      <w:pPr>
        <w:numPr>
          <w:ilvl w:val="0"/>
          <w:numId w:val="1"/>
        </w:numPr>
      </w:pPr>
      <w:r>
        <w:t xml:space="preserve">Управляла ресурсом 170 человек (продукт + IT, штат/аутсорс), 12 бизнес-команд; KPI: активная клиентская база, продажи/портфель, P&amp;L, CIR, pNPS, MAU/DAU.</w:t>
      </w:r>
    </w:p>
    <w:p>
      <w:pPr>
        <w:numPr>
          <w:ilvl w:val="0"/>
          <w:numId w:val="1"/>
        </w:numPr>
      </w:pPr>
      <w:r>
        <w:t xml:space="preserve">Запустила и развила пассивный и расчетный бизнес: депозиты, накопительные счета, дебетовые карты, платежи и переводы, страховые, сервисные и инвестиционные продукты.</w:t>
      </w:r>
    </w:p>
    <w:p>
      <w:pPr>
        <w:numPr>
          <w:ilvl w:val="0"/>
          <w:numId w:val="1"/>
        </w:numPr>
      </w:pPr>
      <w:r>
        <w:t xml:space="preserve">При переходе к доходной бизнес-модели увеличила активную клиентскую базу на 11% до 2,1 млн клиентов; средний AUM +35%, транзакционный отток сокращен в 3 раза, РКО выведено на самоокупаемость.</w:t>
      </w:r>
    </w:p>
    <w:p>
      <w:pPr>
        <w:numPr>
          <w:ilvl w:val="0"/>
          <w:numId w:val="1"/>
        </w:numPr>
      </w:pPr>
      <w:r>
        <w:t xml:space="preserve">Провела бизнес- и технологическую миграцию 1,5 млн клиентов на разных продуктовых линейках и 8 процессингах без клиентского оттока; организовала переход структуры управления и разработки на Agile.</w:t>
      </w:r>
    </w:p>
    <w:p>
      <w:pPr>
        <w:numPr>
          <w:ilvl w:val="0"/>
          <w:numId w:val="1"/>
        </w:numPr>
      </w:pPr>
      <w:r>
        <w:t xml:space="preserve">Продукты и сервисы направления входили в рейтинги Frank RG: лучшая дебетовая карта 2021 - N1, Premium Light 2022 - N1, лучший банк для премиальных клиентов 2022 - N2.</w:t>
      </w:r>
    </w:p>
    <w:p>
      <w:pPr>
        <w:pStyle w:val="Heading2"/>
      </w:pPr>
      <w:r>
        <w:t xml:space="preserve">ВТБ / ВТБ24</w:t>
      </w:r>
    </w:p>
    <w:p>
      <w:r>
        <w:t xml:space="preserve">Сберегательные и комиссионные продукты; автобизнес и автокредитование · Февраль 2017 - Январь 2018; Декабрь 2005 - Октябрь 2015</w:t>
      </w:r>
    </w:p>
    <w:p>
      <w:pPr>
        <w:numPr>
          <w:ilvl w:val="0"/>
          <w:numId w:val="1"/>
        </w:numPr>
      </w:pPr>
      <w:r>
        <w:t xml:space="preserve">В Банке ВТБ управляла розничным портфелем сберегательных и комиссионных продуктов: стратегия, планирование портфелей/продаж/доходов, запуск продуктовых предложений под сегменты, модели продаж, мотивация и партнерства.</w:t>
      </w:r>
    </w:p>
    <w:p>
      <w:pPr>
        <w:numPr>
          <w:ilvl w:val="0"/>
          <w:numId w:val="1"/>
        </w:numPr>
      </w:pPr>
      <w:r>
        <w:t xml:space="preserve">В ВТБ24 запустила и развила автокредитование как самостоятельное бизнес-направление со stand-alone моделью, собственной и партнерской сетью дистрибуции.</w:t>
      </w:r>
    </w:p>
    <w:p>
      <w:pPr>
        <w:numPr>
          <w:ilvl w:val="0"/>
          <w:numId w:val="1"/>
        </w:numPr>
      </w:pPr>
      <w:r>
        <w:t xml:space="preserve">Направление обеспечило приток 25% клиентов розничного бизнеса, из них 88% NTB; бизнес вышел в прибыль на 36-й месяц; итоговая позиция - N1 по кредитному портфелю.</w:t>
      </w:r>
    </w:p>
    <w:p>
      <w:pPr>
        <w:numPr>
          <w:ilvl w:val="0"/>
          <w:numId w:val="1"/>
        </w:numPr>
      </w:pPr>
      <w:r>
        <w:t xml:space="preserve">Управляла продуктом, клиентским предложением, процедурами, бюджетами, портфелем, продажами и сделками по покупке/секьюритизации портфелей.</w:t>
      </w:r>
    </w:p>
    <w:p>
      <w:pPr>
        <w:numPr>
          <w:ilvl w:val="0"/>
          <w:numId w:val="1"/>
        </w:numPr>
      </w:pPr>
      <w:r>
        <w:t xml:space="preserve">Масштаб управления: 40 человек в прямом подчинении, 1500 человек функционального подчинения в региональной сети, 600+ точек продаж.</w:t>
      </w:r>
    </w:p>
    <w:p>
      <w:pPr>
        <w:numPr>
          <w:ilvl w:val="0"/>
          <w:numId w:val="1"/>
        </w:numPr>
      </w:pPr>
      <w:r>
        <w:t xml:space="preserve">Создана продуктовая модель автокредитования: 10+ основных продуктов, 300+ программ, 1,5 тыс. промо-акций; портфель вырос до 70 млрд руб., ежегодное исполнение плана по прибыли 93-104%.</w:t>
      </w:r>
    </w:p>
    <w:sectPr>
      <w:pgSz w:w="11906" w:h="16838"/>
      <w:pgMar w:top="720" w:right="720" w:bottom="720" w:left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0"/>
    </w:rPr>
    <w:pPr>
      <w:spacing w:after="80" w:line="240" w:lineRule="auto"/>
    </w:pPr>
  </w:style>
  <w:style w:type="paragraph" w:styleId="Title">
    <w:name w:val="Title"/>
    <w:basedOn w:val="Normal"/>
    <w:rPr>
      <w:b/>
      <w:color w:val="0F2742"/>
      <w:sz w:val="36"/>
    </w:rPr>
  </w:style>
  <w:style w:type="paragraph" w:styleId="Subtitle">
    <w:name w:val="Subtitle"/>
    <w:basedOn w:val="Normal"/>
    <w:rPr>
      <w:b/>
      <w:color w:val="173A5E"/>
      <w:sz w:val="24"/>
    </w:rPr>
  </w:style>
  <w:style w:type="paragraph" w:styleId="Heading1">
    <w:name w:val="heading 1"/>
    <w:basedOn w:val="Normal"/>
    <w:rPr>
      <w:b/>
      <w:color w:val="0F2742"/>
      <w:sz w:val="24"/>
    </w:rPr>
    <w:pPr>
      <w:spacing w:before="160" w:after="80"/>
    </w:pPr>
  </w:style>
  <w:style w:type="paragraph" w:styleId="Heading2">
    <w:name w:val="heading 2"/>
    <w:basedOn w:val="Normal"/>
    <w:rPr>
      <w:b/>
      <w:color w:val="173A5E"/>
      <w:sz w:val="22"/>
    </w:rPr>
    <w:pPr>
      <w:spacing w:before="100" w:after="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