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Яна Тимофеева</w:t>
      </w:r>
    </w:p>
    <w:p>
      <w:pPr>
        <w:pStyle w:val="Subtitle"/>
      </w:pPr>
      <w:r>
        <w:t xml:space="preserve">C-level лидер | розничный банкинг, финтех и платежная инфраструктура</w:t>
      </w:r>
    </w:p>
    <w:p>
      <w:r>
        <w:t xml:space="preserve">BUILD / TRANSFORM / LEAD: запуск бизнес-направлений, трансформация продуктовых моделей, управление крупными программами изменений</w:t>
      </w:r>
    </w:p>
    <w:p>
      <w:r>
        <w:t xml:space="preserve">Москва · +7 (903) 725-82-18 · ia.timofeeva@yandex.ru</w:t>
      </w:r>
    </w:p>
    <w:p>
      <w:pPr>
        <w:pStyle w:val="Heading1"/>
      </w:pPr>
      <w:r>
        <w:t xml:space="preserve">Профиль</w:t>
      </w:r>
    </w:p>
    <w:p>
      <w:r>
        <w:t xml:space="preserve">Бизнес-лидер с 20+ годами опыта в крупнейших финансовых организациях России. Отвечаю за розничные направления, запуск новых продуктов, клиентский рост, партнерскую дистрибуцию, технологические миграции и федеральные проекты на стыке бизнеса, IT, операций, маркетинга, продаж и регуляторного контура.</w:t>
      </w:r>
    </w:p>
    <w:p>
      <w:r>
        <w:t xml:space="preserve">Моя ценность - в ситуациях, где нужно быстро соединить стратегию, экономику продукта, операционную модель и delivery в измеримый результат: запустить направление с нуля, перестроить действующую модель или провести сложную программу без потери клиентского опыта.</w:t>
      </w:r>
    </w:p>
    <w:p>
      <w:pPr>
        <w:pStyle w:val="Heading1"/>
      </w:pPr>
      <w:r>
        <w:t xml:space="preserve">Целевые роли</w:t>
      </w:r>
    </w:p>
    <w:p>
      <w:r>
        <w:t xml:space="preserve">Chief Business Officer / Chief Product Officer / Chief Operating Officer / Head of Retail Banking / Managing Director по розничному бизнесу, продуктам, платежам, клиентским платформам или трансформации финансового бизнеса.</w:t>
      </w:r>
    </w:p>
    <w:p>
      <w:pPr>
        <w:pStyle w:val="Heading1"/>
      </w:pPr>
      <w:r>
        <w:t xml:space="preserve">Управленческий фокус</w:t>
      </w:r>
    </w:p>
    <w:p>
      <w:pPr>
        <w:pStyle w:val="Heading2"/>
      </w:pPr>
      <w:r>
        <w:t xml:space="preserve">BUILD - запуск самостоятельных бизнес-направлений</w:t>
      </w:r>
    </w:p>
    <w:p>
      <w:pPr>
        <w:numPr>
          <w:ilvl w:val="0"/>
          <w:numId w:val="1"/>
        </w:numPr>
      </w:pPr>
      <w:r>
        <w:t xml:space="preserve">Определяю рынок, клиентские сегменты, бизнес-модель, стратегию развития, инвестиционную логику и период окупаемости.</w:t>
      </w:r>
    </w:p>
    <w:p>
      <w:pPr>
        <w:numPr>
          <w:ilvl w:val="0"/>
          <w:numId w:val="1"/>
        </w:numPr>
      </w:pPr>
      <w:r>
        <w:t xml:space="preserve">Формирую продуктовый ряд и клиентское предложение; развиваю каналы продаж, партнерские программы и дистрибуцию.</w:t>
      </w:r>
    </w:p>
    <w:p>
      <w:pPr>
        <w:numPr>
          <w:ilvl w:val="0"/>
          <w:numId w:val="1"/>
        </w:numPr>
      </w:pPr>
      <w:r>
        <w:t xml:space="preserve">Собираю кросс-функциональную реализацию вместе с бизнесом, продажами, маркетингом, продуктом, операциями и IT.</w:t>
      </w:r>
    </w:p>
    <w:p>
      <w:r>
        <w:t xml:space="preserve">Подтверждение масштаба: АКБ +11% до 2,1 млн · AUM +35% · отток снижен в 3 раза · N5 по пассивам и АКБ (+3 п.п.) · N1 по автокредитному портфелю · 88% NTB · прибыль с 36-го месяца</w:t>
      </w:r>
    </w:p>
    <w:p>
      <w:pPr>
        <w:pStyle w:val="Heading2"/>
      </w:pPr>
      <w:r>
        <w:t xml:space="preserve">TRANSFORM - корректировка существующей модели</w:t>
      </w:r>
    </w:p>
    <w:p>
      <w:pPr>
        <w:numPr>
          <w:ilvl w:val="0"/>
          <w:numId w:val="1"/>
        </w:numPr>
      </w:pPr>
      <w:r>
        <w:t xml:space="preserve">Диагностирую действующую модель бизнеса и определяю, какие изменения нужны под новые цели роста и доходности.</w:t>
      </w:r>
    </w:p>
    <w:p>
      <w:pPr>
        <w:numPr>
          <w:ilvl w:val="0"/>
          <w:numId w:val="1"/>
        </w:numPr>
      </w:pPr>
      <w:r>
        <w:t xml:space="preserve">Пересобираю стратегию, экономику привлечения, источники финансирования, продуктовые приоритеты и операционную модель.</w:t>
      </w:r>
    </w:p>
    <w:p>
      <w:pPr>
        <w:numPr>
          <w:ilvl w:val="0"/>
          <w:numId w:val="1"/>
        </w:numPr>
      </w:pPr>
      <w:r>
        <w:t xml:space="preserve">Провожу изменения в работающем контуре банка: продукт, процессы, технологии, оргструктура и клиентский опыт.</w:t>
      </w:r>
    </w:p>
    <w:p>
      <w:r>
        <w:t xml:space="preserve">Подтверждение масштаба: 25 млн клиентов · +25% YoY к активной клиентской базе · N2 по АКБ · масштабная IT-трансформация · P&amp;L / CIR / pNPS / MAU / DAU</w:t>
      </w:r>
    </w:p>
    <w:p>
      <w:pPr>
        <w:pStyle w:val="Heading2"/>
      </w:pPr>
      <w:r>
        <w:t xml:space="preserve">LEAD - сложные программы с большим количеством участников</w:t>
      </w:r>
    </w:p>
    <w:p>
      <w:pPr>
        <w:numPr>
          <w:ilvl w:val="0"/>
          <w:numId w:val="1"/>
        </w:numPr>
      </w:pPr>
      <w:r>
        <w:t xml:space="preserve">Формирую концепт проекта, систему принятия решений и общие цели для бизнеса, IT, операций, продаж, маркетинга, регулятора и внешних партнеров.</w:t>
      </w:r>
    </w:p>
    <w:p>
      <w:pPr>
        <w:numPr>
          <w:ilvl w:val="0"/>
          <w:numId w:val="1"/>
        </w:numPr>
      </w:pPr>
      <w:r>
        <w:t xml:space="preserve">Организую Agile-команды и крупные delivery-программы; удерживаю результат в условиях высокой организационной и технологической сложности.</w:t>
      </w:r>
    </w:p>
    <w:p>
      <w:pPr>
        <w:numPr>
          <w:ilvl w:val="0"/>
          <w:numId w:val="1"/>
        </w:numPr>
      </w:pPr>
      <w:r>
        <w:t xml:space="preserve">Обеспечиваю бесшовность критичных изменений для клиентов и операционного контура.</w:t>
      </w:r>
    </w:p>
    <w:p>
      <w:r>
        <w:t xml:space="preserve">Подтверждение масштаба: 1,5 млн клиентов / 8 процессингов · 20 млн клиентов без простоя · 2 млн детей за 8 месяцев · 170 человек / 12 команд · SDN-контур</w:t>
      </w:r>
    </w:p>
    <w:p>
      <w:pPr>
        <w:pStyle w:val="Heading1"/>
      </w:pPr>
      <w:r>
        <w:t xml:space="preserve">Зоны практической экспертизы</w:t>
      </w:r>
    </w:p>
    <w:p>
      <w:r>
        <w:t xml:space="preserve">Уровень вовлеченности в областях, где есть hands-on управленческий опыт и подтвержденные бизнес-результаты.</w:t>
      </w:r>
    </w:p>
    <w:p>
      <w:r>
        <w:t xml:space="preserve">Retail business and P&amp;L — 100% [##########]</w:t>
      </w:r>
    </w:p>
    <w:p>
      <w:r>
        <w:t xml:space="preserve">Products and growth — 100% [##########]</w:t>
      </w:r>
    </w:p>
    <w:p>
      <w:r>
        <w:t xml:space="preserve">Channels and partnerships — 100% [##########]</w:t>
      </w:r>
    </w:p>
    <w:p>
      <w:r>
        <w:t xml:space="preserve">Technology and delivery — 80% [########--]</w:t>
      </w:r>
    </w:p>
    <w:p>
      <w:r>
        <w:t xml:space="preserve">Regulatory — 70% [#######---]</w:t>
      </w:r>
    </w:p>
    <w:p>
      <w:pPr>
        <w:pStyle w:val="Heading1"/>
      </w:pPr>
      <w:r>
        <w:t xml:space="preserve">Образование и языки</w:t>
      </w:r>
    </w:p>
    <w:p>
      <w:r>
        <w:t xml:space="preserve">МГОУ, Москва, 1998 - Менеджмент и экономическая политика, менеджер.</w:t>
      </w:r>
    </w:p>
    <w:p>
      <w:r>
        <w:t xml:space="preserve">Языки: русский - родной; английский - C2; испанский - базовый.</w:t>
      </w:r>
    </w:p>
    <w:p>
      <w:r>
        <w:br w:type="page"/>
      </w:r>
    </w:p>
    <w:p>
      <w:pPr>
        <w:pStyle w:val="Heading1"/>
      </w:pPr>
      <w:r>
        <w:t xml:space="preserve">Избранный опыт и достижения</w:t>
      </w:r>
    </w:p>
    <w:p>
      <w:pPr>
        <w:pStyle w:val="Heading2"/>
      </w:pPr>
      <w:r>
        <w:t xml:space="preserve">ВТБ</w:t>
      </w:r>
    </w:p>
    <w:p>
      <w:r>
        <w:t xml:space="preserve">Дебетовые карты, расчетные продукты, процессинг, федеральные программы · [актуальная должность и период после 2022 - уточнить]</w:t>
      </w:r>
    </w:p>
    <w:p>
      <w:pPr>
        <w:numPr>
          <w:ilvl w:val="0"/>
          <w:numId w:val="1"/>
        </w:numPr>
      </w:pPr>
      <w:r>
        <w:t xml:space="preserve">Скорректировала стратегию дебетовых карт и расчетных продуктов под рост активной клиентской базы: определены инструменты и стоимость привлечения, найдены источники финансирования.</w:t>
      </w:r>
    </w:p>
    <w:p>
      <w:pPr>
        <w:numPr>
          <w:ilvl w:val="0"/>
          <w:numId w:val="1"/>
        </w:numPr>
      </w:pPr>
      <w:r>
        <w:t xml:space="preserve">Реализовала продуктовые, маркетинговые и дистрибуционные изменения одновременно с масштабной IT-трансформацией.</w:t>
      </w:r>
    </w:p>
    <w:p>
      <w:pPr>
        <w:numPr>
          <w:ilvl w:val="0"/>
          <w:numId w:val="1"/>
        </w:numPr>
      </w:pPr>
      <w:r>
        <w:t xml:space="preserve">Достигнута рыночная позиция N2 по активной клиентской базе: 25 млн клиентов, рост +25% YoY.</w:t>
      </w:r>
    </w:p>
    <w:p>
      <w:pPr>
        <w:numPr>
          <w:ilvl w:val="0"/>
          <w:numId w:val="1"/>
        </w:numPr>
      </w:pPr>
      <w:r>
        <w:t xml:space="preserve">Проведено импортозамещение и бесшовная замена процессинга для 20 млн действующих клиентов без простоя в операциях.</w:t>
      </w:r>
    </w:p>
    <w:p>
      <w:pPr>
        <w:numPr>
          <w:ilvl w:val="0"/>
          <w:numId w:val="1"/>
        </w:numPr>
      </w:pPr>
      <w:r>
        <w:t xml:space="preserve">Реализован федеральный проект по миграции 2 млн детей с Пушкинскими картами за 8 месяцев: концепция, продукт, процесс миграции, технологические интеграции с регулятором, нормативная база и бесшовное переключение.</w:t>
      </w:r>
    </w:p>
    <w:p>
      <w:pPr>
        <w:pStyle w:val="Heading2"/>
      </w:pPr>
      <w:r>
        <w:t xml:space="preserve">ФК Банк Открытие</w:t>
      </w:r>
    </w:p>
    <w:p>
      <w:r>
        <w:t xml:space="preserve">Лидер Трайба Ежедневный Банкинг / Директор департамента сберегательных и комиссионных продуктов · Январь 2021 - после декабря 2022; Февраль 2018 - Декабрь 2020</w:t>
      </w:r>
    </w:p>
    <w:p>
      <w:pPr>
        <w:numPr>
          <w:ilvl w:val="0"/>
          <w:numId w:val="1"/>
        </w:numPr>
      </w:pPr>
      <w:r>
        <w:t xml:space="preserve">Развивала направление ежедневного банкинга: дебетовые и зарплатные карты, РКО; ключевая задача - рост клиентской базы через закрытие daily-потребностей клиентов.</w:t>
      </w:r>
    </w:p>
    <w:p>
      <w:pPr>
        <w:numPr>
          <w:ilvl w:val="0"/>
          <w:numId w:val="1"/>
        </w:numPr>
      </w:pPr>
      <w:r>
        <w:t xml:space="preserve">Управляла ресурсом 170 человек (продукт + IT, штат/аутсорс), 12 бизнес-команд; KPI: активная клиентская база, продажи/портфель, P&amp;L, CIR, pNPS, MAU/DAU.</w:t>
      </w:r>
    </w:p>
    <w:p>
      <w:pPr>
        <w:numPr>
          <w:ilvl w:val="0"/>
          <w:numId w:val="1"/>
        </w:numPr>
      </w:pPr>
      <w:r>
        <w:t xml:space="preserve">Запустила и развила пассивный и расчетный бизнес: депозиты, накопительные счета, дебетовые карты, платежи и переводы, страховые, сервисные и инвестиционные продукты.</w:t>
      </w:r>
    </w:p>
    <w:p>
      <w:pPr>
        <w:numPr>
          <w:ilvl w:val="0"/>
          <w:numId w:val="1"/>
        </w:numPr>
      </w:pPr>
      <w:r>
        <w:t xml:space="preserve">При переходе к доходной бизнес-модели увеличила активную клиентскую базу на 11% до 2,1 млн клиентов; средний AUM +35%, транзакционный отток сокращен в 3 раза, РКО выведено на самоокупаемость.</w:t>
      </w:r>
    </w:p>
    <w:p>
      <w:pPr>
        <w:numPr>
          <w:ilvl w:val="0"/>
          <w:numId w:val="1"/>
        </w:numPr>
      </w:pPr>
      <w:r>
        <w:t xml:space="preserve">Провела бизнес- и технологическую миграцию 1,5 млн клиентов на разных продуктовых линейках и 8 процессингах без клиентского оттока; организовала переход структуры управления и разработки на Agile.</w:t>
      </w:r>
    </w:p>
    <w:p>
      <w:pPr>
        <w:numPr>
          <w:ilvl w:val="0"/>
          <w:numId w:val="1"/>
        </w:numPr>
      </w:pPr>
      <w:r>
        <w:t xml:space="preserve">Продукты и сервисы направления входили в рейтинги Frank RG: лучшая дебетовая карта 2021 - N1, Premium Light 2022 - N1, лучший банк для премиальных клиентов 2022 - N2.</w:t>
      </w:r>
    </w:p>
    <w:p>
      <w:pPr>
        <w:pStyle w:val="Heading2"/>
      </w:pPr>
      <w:r>
        <w:t xml:space="preserve">ВТБ / ВТБ24</w:t>
      </w:r>
    </w:p>
    <w:p>
      <w:r>
        <w:t xml:space="preserve">Сберегательные и комиссионные продукты; автобизнес и автокредитование · Февраль 2017 - Январь 2018; Декабрь 2005 - Октябрь 2015</w:t>
      </w:r>
    </w:p>
    <w:p>
      <w:pPr>
        <w:numPr>
          <w:ilvl w:val="0"/>
          <w:numId w:val="1"/>
        </w:numPr>
      </w:pPr>
      <w:r>
        <w:t xml:space="preserve">В Банке ВТБ управляла розничным портфелем сберегательных и комиссионных продуктов: стратегия, планирование портфелей/продаж/доходов, запуск продуктовых предложений под сегменты, модели продаж, мотивация и партнерства.</w:t>
      </w:r>
    </w:p>
    <w:p>
      <w:pPr>
        <w:numPr>
          <w:ilvl w:val="0"/>
          <w:numId w:val="1"/>
        </w:numPr>
      </w:pPr>
      <w:r>
        <w:t xml:space="preserve">В ВТБ24 запустила и развила автокредитование как самостоятельное бизнес-направление со stand-alone моделью, собственной и партнерской сетью дистрибуции.</w:t>
      </w:r>
    </w:p>
    <w:p>
      <w:pPr>
        <w:numPr>
          <w:ilvl w:val="0"/>
          <w:numId w:val="1"/>
        </w:numPr>
      </w:pPr>
      <w:r>
        <w:t xml:space="preserve">Направление обеспечило приток 25% клиентов розничного бизнеса, из них 88% NTB; бизнес вышел в прибыль на 36-й месяц; итоговая позиция - N1 по кредитному портфелю.</w:t>
      </w:r>
    </w:p>
    <w:p>
      <w:pPr>
        <w:numPr>
          <w:ilvl w:val="0"/>
          <w:numId w:val="1"/>
        </w:numPr>
      </w:pPr>
      <w:r>
        <w:t xml:space="preserve">Управляла продуктом, клиентским предложением, процедурами, бюджетами, портфелем, продажами и сделками по покупке/секьюритизации портфелей.</w:t>
      </w:r>
    </w:p>
    <w:p>
      <w:pPr>
        <w:numPr>
          <w:ilvl w:val="0"/>
          <w:numId w:val="1"/>
        </w:numPr>
      </w:pPr>
      <w:r>
        <w:t xml:space="preserve">Масштаб управления: 40 человек в прямом подчинении, 1500 человек функционального подчинения в региональной сети, 600+ точек продаж.</w:t>
      </w:r>
    </w:p>
    <w:p>
      <w:pPr>
        <w:numPr>
          <w:ilvl w:val="0"/>
          <w:numId w:val="1"/>
        </w:numPr>
      </w:pPr>
      <w:r>
        <w:t xml:space="preserve">Создана продуктовая модель автокредитования: 10+ основных продуктов, 300+ программ, 1,5 тыс. промо-акций; портфель вырос до 70 млрд руб., ежегодное исполнение плана по прибыли 93-104%.</w:t>
      </w:r>
    </w:p>
    <w:sectPr>
      <w:pgSz w:w="11906" w:h="16838"/>
      <w:pgMar w:top="720" w:right="720" w:bottom="720" w:left="72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 w:cs="Arial"/>
      <w:sz w:val="20"/>
    </w:rPr>
    <w:pPr>
      <w:spacing w:after="80" w:line="240" w:lineRule="auto"/>
    </w:pPr>
  </w:style>
  <w:style w:type="paragraph" w:styleId="Title">
    <w:name w:val="Title"/>
    <w:basedOn w:val="Normal"/>
    <w:rPr>
      <w:b/>
      <w:color w:val="0F2742"/>
      <w:sz w:val="36"/>
    </w:rPr>
  </w:style>
  <w:style w:type="paragraph" w:styleId="Subtitle">
    <w:name w:val="Subtitle"/>
    <w:basedOn w:val="Normal"/>
    <w:rPr>
      <w:b/>
      <w:color w:val="173A5E"/>
      <w:sz w:val="24"/>
    </w:rPr>
  </w:style>
  <w:style w:type="paragraph" w:styleId="Heading1">
    <w:name w:val="heading 1"/>
    <w:basedOn w:val="Normal"/>
    <w:rPr>
      <w:b/>
      <w:color w:val="0F2742"/>
      <w:sz w:val="24"/>
    </w:rPr>
    <w:pPr>
      <w:spacing w:before="160" w:after="80"/>
    </w:pPr>
  </w:style>
  <w:style w:type="paragraph" w:styleId="Heading2">
    <w:name w:val="heading 2"/>
    <w:basedOn w:val="Normal"/>
    <w:rPr>
      <w:b/>
      <w:color w:val="173A5E"/>
      <w:sz w:val="22"/>
    </w:rPr>
    <w:pPr>
      <w:spacing w:before="100" w:after="6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