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Noto Sans CJK SC" w:hAnsi="Noto Sans CJK SC" w:eastAsia="Noto Sans CJK SC"/>
          <w:b/>
          <w:color w:val="2563EB"/>
          <w:sz w:val="68"/>
        </w:rPr>
        <w:t>DataPilot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42"/>
        </w:rPr>
        <w:t>AI数据助手 产品需求文档</w:t>
      </w:r>
    </w:p>
    <w:p>
      <w:pPr>
        <w:spacing w:after="1100"/>
        <w:jc w:val="center"/>
      </w:pPr>
      <w:r>
        <w:rPr>
          <w:rFonts w:ascii="Noto Sans CJK SC" w:hAnsi="Noto Sans CJK SC" w:eastAsia="Noto Sans CJK SC"/>
          <w:b w:val="0"/>
          <w:color w:val="6B7280"/>
          <w:sz w:val="22"/>
        </w:rPr>
        <w:t>Product Requirements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819"/>
      </w:tblGrid>
      <w:tr>
        <w:trPr>
          <w:cantSplit/>
        </w:trPr>
        <w:tc>
          <w:tcPr>
            <w:tcW w:type="dxa" w:w="4816"/>
            <w:shd w:fill="EAF1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文档版本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v0.1</w:t>
            </w:r>
          </w:p>
        </w:tc>
      </w:tr>
      <w:tr>
        <w:trPr>
          <w:cantSplit/>
        </w:trPr>
        <w:tc>
          <w:tcPr>
            <w:tcW w:type="dxa" w:w="4816"/>
            <w:shd w:fill="EAF1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文档状态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初稿 / 学习项目</w:t>
            </w:r>
          </w:p>
        </w:tc>
      </w:tr>
      <w:tr>
        <w:trPr>
          <w:cantSplit/>
        </w:trPr>
        <w:tc>
          <w:tcPr>
            <w:tcW w:type="dxa" w:w="4816"/>
            <w:shd w:fill="EAF1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核心用户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不会写SQL、但需要频繁临时取数的运营人员</w:t>
            </w:r>
          </w:p>
        </w:tc>
      </w:tr>
      <w:tr>
        <w:trPr>
          <w:cantSplit/>
        </w:trPr>
        <w:tc>
          <w:tcPr>
            <w:tcW w:type="dxa" w:w="4816"/>
            <w:shd w:fill="EAF1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产品阶段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MVP定义阶段</w:t>
            </w:r>
          </w:p>
        </w:tc>
      </w:tr>
      <w:tr>
        <w:trPr>
          <w:cantSplit/>
        </w:trPr>
        <w:tc>
          <w:tcPr>
            <w:tcW w:type="dxa" w:w="4816"/>
            <w:shd w:fill="EAF1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更新日期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2026年7月12日</w:t>
            </w:r>
          </w:p>
        </w:tc>
      </w:tr>
    </w:tbl>
    <w:p>
      <w:pPr>
        <w:spacing w:before="11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定位：自然语言取数 · 统一指标口径 · 可追溯结果 · 人工兜底</w:t>
      </w:r>
    </w:p>
    <w:p>
      <w:r>
        <w:br w:type="page"/>
      </w: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版本</w:t>
            </w:r>
          </w:p>
        </w:tc>
        <w:tc>
          <w:tcPr>
            <w:tcW w:type="dxa" w:w="181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日期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变更内容</w:t>
            </w:r>
          </w:p>
        </w:tc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v0.1</w:t>
            </w:r>
          </w:p>
        </w:tc>
        <w:tc>
          <w:tcPr>
            <w:tcW w:type="dxa" w:w="181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2026-07-12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明确MVP目标用户、核心场景、功能边界、成功指标与风险控制</w:t>
            </w:r>
          </w:p>
        </w:tc>
        <w:tc>
          <w:tcPr>
            <w:tcW w:type="dxa" w:w="1247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初稿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目录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1. 产品背景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2. 产品目标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3. 目标用户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4. 核心使用场景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5. 功能需求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6. 第一版支持范围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7. 核心用户流程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8. 成功指标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9. 风险与控制措施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附录A：术语说明</w:t>
      </w:r>
    </w:p>
    <w:p>
      <w:pPr>
        <w:spacing w:after="60"/>
        <w:ind w:left="170"/>
      </w:pPr>
      <w:r>
        <w:rPr>
          <w:rFonts w:ascii="Noto Sans CJK SC" w:hAnsi="Noto Sans CJK SC" w:eastAsia="Noto Sans CJK SC"/>
          <w:b w:val="0"/>
          <w:color w:val="1F2937"/>
          <w:sz w:val="20"/>
        </w:rPr>
        <w:t>附录B：MVP功能清单</w:t>
      </w:r>
    </w:p>
    <w:p>
      <w:r>
        <w:br w:type="page"/>
      </w: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1. 产品背景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当前业务运营人员存在大量临时取数需求，但多数人员不熟悉SQL，需要通过即时通讯群、工单或口头方式向数据分析师提出需求。数据分析师需要进一步确认指标口径、时间范围、筛选条件和业务范围，再编写SQL或从BI看板导出结果。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现有流程中，低复杂度、重复性取数占用了数据分析师大量时间，同时也使业务人员需要等待数小时甚至数天。由于同一指标可能存在不同定义，需求双方还需要多轮沟通，最终结果也可能缺少统一的数据来源和计算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rPr>
          <w:cantSplit/>
        </w:trPr>
        <w:tc>
          <w:tcPr>
            <w:tcW w:type="dxa" w:w="9632"/>
            <w:shd w:fill="EAF1FF"/>
            <w:tcBorders>
              <w:top w:val="single" w:sz="10" w:color="2563EB"/>
              <w:left w:val="single" w:sz="16" w:color="2563EB"/>
              <w:bottom w:val="single" w:sz="10" w:color="2563EB"/>
              <w:right w:val="single" w:sz="10" w:color="2563EB"/>
            </w:tcBorders>
          </w:tcPr>
          <w:p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产品机会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通过自然语言理解、指标口径库和受控的数据查询能力，DataPilot可将业务问题转换为结构化查询任务，使业务人员能够完成基础自助取数，同时让数据分析师集中处理复杂分析和高风险问题。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1.1 现有流程</w:t>
      </w:r>
    </w:p>
    <w:p>
      <w:pPr>
        <w:spacing w:before="0" w:after="80" w:line="307" w:lineRule="auto"/>
        <w:ind w:left="454" w:hanging="283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color w:val="1F2937"/>
          <w:sz w:val="21"/>
        </w:rPr>
        <w:t>业务人员提出模糊数据问题</w:t>
      </w:r>
    </w:p>
    <w:p>
      <w:pPr>
        <w:spacing w:before="0" w:after="80" w:line="307" w:lineRule="auto"/>
        <w:ind w:left="454" w:hanging="283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color w:val="1F2937"/>
          <w:sz w:val="21"/>
        </w:rPr>
        <w:t>数据分析师确认指标、时间和筛选条件</w:t>
      </w:r>
    </w:p>
    <w:p>
      <w:pPr>
        <w:spacing w:before="0" w:after="80" w:line="307" w:lineRule="auto"/>
        <w:ind w:left="454" w:hanging="283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color w:val="1F2937"/>
          <w:sz w:val="21"/>
        </w:rPr>
        <w:t>分析师查找指标文档并编写SQL</w:t>
      </w:r>
    </w:p>
    <w:p>
      <w:pPr>
        <w:spacing w:before="0" w:after="80" w:line="307" w:lineRule="auto"/>
        <w:ind w:left="454" w:hanging="283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color w:val="1F2937"/>
          <w:sz w:val="21"/>
        </w:rPr>
        <w:t>检查数据质量和查询结果</w:t>
      </w:r>
    </w:p>
    <w:p>
      <w:pPr>
        <w:spacing w:before="0" w:after="80" w:line="307" w:lineRule="auto"/>
        <w:ind w:left="454" w:hanging="283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color w:val="1F2937"/>
          <w:sz w:val="21"/>
        </w:rPr>
        <w:t>通过Excel、BI或截图返回结果</w:t>
      </w:r>
    </w:p>
    <w:p>
      <w:pPr>
        <w:spacing w:before="0" w:after="80" w:line="307" w:lineRule="auto"/>
        <w:ind w:left="454" w:hanging="283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color w:val="1F2937"/>
          <w:sz w:val="21"/>
        </w:rPr>
        <w:t>业务人员继续追问，分析师重复取数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1.2 核心痛点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需求描述不清晰，指标、时间、地区和对比周期需要反复确认。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同一指标可能存在多种口径，结果缺乏一致性。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数据分析师重复编写相似SQL，低价值工作占比高。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业务人员等待时间长，数据无法及时支持运营动作。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部分结果缺少数据来源、更新时间和计算过程，可信度不足。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分析过程难以复用，Bad Case无法形成持续优化闭环。</w:t>
      </w:r>
    </w:p>
    <w:p>
      <w:r>
        <w:br w:type="page"/>
      </w: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2. 产品目标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2.1 用户目标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业务运营人员无需编写SQL，即可通过自然语言获得准确、可解释、可追溯的基础业务数据。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2.2 业务目标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缩短临时取数时间。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减少数据分析师重复取数工作。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提高业务人员自助取数比例。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降低指标口径不一致问题。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建立AI查询Bad Case的收集、分类和复盘机制。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2.3 非目标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第一版不替代数据分析师。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不自动完成复杂经营决策。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不预测未来业务结果。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不修改数据库或业务系统数据。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不在第一版支持企业全部数据和所有业务指标。</w:t>
      </w: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3. 目标用户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3.1 核心用户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不会写SQL、但需要频繁临时取数的业务运营人员。该用户群体具有需求高频、等待成本明显、查询类型相对标准化等特点，适合作为MVP验证对象。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3.2 辅助用户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数据分析师。数据分析师不是第一版主要取数用户，而是指标治理者、异常处理者和高风险查询审核者。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维护指标口径。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审核异常查询。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查看和分类Bad Case。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处理转人工需求。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优化查询模板和数据规则。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3.3 暂不重点服务的用户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管理层暂不作为第一版核心用户。管理层通常需要稳定看板、高可信度决策结论和跨业务整合分析，风险和复杂度高于基础自助取数场景。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9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用户角色</w:t>
            </w:r>
          </w:p>
        </w:tc>
        <w:tc>
          <w:tcPr>
            <w:tcW w:type="dxa" w:w="396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核心需求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MVP中的角色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业务运营人员</w:t>
            </w:r>
          </w:p>
        </w:tc>
        <w:tc>
          <w:tcPr>
            <w:tcW w:type="dxa" w:w="396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快速、准确地获得业务数据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核心用户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数据分析师</w:t>
            </w:r>
          </w:p>
        </w:tc>
        <w:tc>
          <w:tcPr>
            <w:tcW w:type="dxa" w:w="396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减少重复取数并治理指标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辅助用户/审核者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管理层</w:t>
            </w:r>
          </w:p>
        </w:tc>
        <w:tc>
          <w:tcPr>
            <w:tcW w:type="dxa" w:w="396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快速理解经营变化并做决策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暂不重点支持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4. 核心使用场景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场景一：查询单个指标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用户输入“查看昨天华东地区的支付GMV”。系统返回指标值、指标定义、时间范围、地区范围、数据更新时间和数据来源。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场景二：对比指标变化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用户输入“本周华东地区支付GMV比上周变化了多少？”系统返回本周值、上周值、变化金额、变化比例和数据来源。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场景三：分析下降来源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用户输入“为什么本周华东地区支付GMV下降了？”系统确认对比周期和GMV口径，并按渠道、地区或商品品类拆解，区分数据事实与可能原因。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场景四：需求描述不完整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用户输入“看一下最近销售情况”。系统不直接查询，而是追问指标、时间、业务范围和对比方式。</w:t>
      </w: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5. 功能需求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FR-01 自然语言提问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用户可以使用自然语言输入数据问题，无需输入SQL、数据表名或数据库字段名。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昨天订单量是多少？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本周支付GMV比上周下降了吗？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华东地区哪个渠道销售额最高？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FR-02 查询信息提取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系统从用户问题中提取指标、时间范围、对比周期、地区、业务范围、分析维度和分析类型。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rPr>
          <w:cantSplit/>
        </w:trPr>
        <w:tc>
          <w:tcPr>
            <w:tcW w:type="dxa" w:w="9632"/>
            <w:shd w:fill="F7F8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76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{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 xml:space="preserve">  "metric": "paid_gmv",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 xml:space="preserve">  "current_period": "this_week",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 xml:space="preserve">  "comparison_period": "last_week",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 xml:space="preserve">  "region": "east_china",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 xml:space="preserve">  "dimension": "channel",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 xml:space="preserve">  "analysis_type": "comparison"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FR-03 缺失信息追问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如果关键查询条件缺失，系统必须提出具体问题，不得自行猜测并执行查询。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查询哪个时间范围？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使用下单GMV还是支付GMV？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是否需要与其他时间段对比？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FR-04 指标口径匹配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系统从指标口径库读取正式定义，并展示指标名称、定义、计算公式、数据表、更新时间和负责人。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rPr>
          <w:cantSplit/>
        </w:trPr>
        <w:tc>
          <w:tcPr>
            <w:tcW w:type="dxa" w:w="9632"/>
            <w:shd w:fill="F7F8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76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指标名称：支付GMV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指标定义：支付成功订单的商品金额总和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计算方式：SUM(paid_amount)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数据更新时间：每日08:00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负责人：数据分析组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FR-05 用户确认查询条件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执行查询前，系统展示识别出的指标、时间、对比周期、地区和分析维度；用户可以确认、修改或取消。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rPr>
          <w:cantSplit/>
        </w:trPr>
        <w:tc>
          <w:tcPr>
            <w:tcW w:type="dxa" w:w="9632"/>
            <w:shd w:fill="F7F8FA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0" w:line="276" w:lineRule="auto"/>
              <w:ind w:left="113"/>
            </w:pP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指标：支付GMV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时间：本周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对比：上周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地区：华东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334155"/>
                <w:sz w:val="18"/>
              </w:rPr>
              <w:t>分析维度：渠道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FR-06 只读数据查询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系统根据结构化查询计划生成并执行只读SQL。第一版仅允许读取数据，不允许修改数据库。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30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允许</w:t>
            </w:r>
          </w:p>
        </w:tc>
        <w:tc>
          <w:tcPr>
            <w:tcW w:type="dxa" w:w="430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禁止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SELECT</w:t>
            </w:r>
          </w:p>
        </w:tc>
        <w:tc>
          <w:tcPr>
            <w:tcW w:type="dxa" w:w="4309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INSERT / UPDATE / DELETE / DROP / ALTER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FR-07 查询结果展示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结果页展示核心结论、当前指标值、对比值、变化金额、变化比例、主要贡献维度、数据来源、更新时间和指标口径。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FR-08 事实与推测区分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系统必须将“数据事实”和“可能原因”分开呈现；没有充分证据时不得输出确定性因果结论。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181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680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数据事实</w:t>
            </w:r>
          </w:p>
        </w:tc>
        <w:tc>
          <w:tcPr>
            <w:tcW w:type="dxa" w:w="680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直播渠道支付GMV较上周下降18%。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可能原因</w:t>
            </w:r>
          </w:p>
        </w:tc>
        <w:tc>
          <w:tcPr>
            <w:tcW w:type="dxa" w:w="6803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直播场次减少可能是流量下降的原因之一，仍需结合直播排期数据验证。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FR-09 用户反馈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用户可反馈结果正确、指标口径错误、数据异常、未解决问题、解释错误或需要转人工。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FR-10 转人工</w:t>
      </w: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无匹配指标、权限不足、查询失败、数据源冲突、用户质疑结果、需要复杂分析或涉及高风险判断时，支持转交数据分析师。</w:t>
      </w: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6. 第一版支持范围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6.1 支持的业务指标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指标</w:t>
            </w:r>
          </w:p>
        </w:tc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说明</w:t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示例问题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支付GMV</w:t>
            </w:r>
          </w:p>
        </w:tc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支付成功订单的商品金额总和</w:t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本周支付GMV比上周变化多少？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支付订单量</w:t>
            </w:r>
          </w:p>
        </w:tc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支付成功的订单数量</w:t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昨天华东地区支付订单量是多少？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支付转化率</w:t>
            </w:r>
          </w:p>
        </w:tc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支付用户数与访问用户数的比例</w:t>
            </w:r>
          </w:p>
        </w:tc>
        <w:tc>
          <w:tcPr>
            <w:tcW w:type="dxa" w:w="357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新用户支付转化率为什么下降？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6.2 支持的分析维度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地区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渠道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商品品类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6.3 支持的分析任务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单指标查询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时间对比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维度拆解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6.4 明确不支持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自动生成完整BI看板。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预测未来GMV。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自动提出经营策略。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自动修改数据库。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多Agent协作。</w:t>
      </w:r>
    </w:p>
    <w:p>
      <w:pPr>
        <w:spacing w:before="0" w:after="60" w:line="300" w:lineRule="auto"/>
        <w:ind w:left="397" w:hanging="255"/>
      </w:pPr>
      <w:r>
        <w:rPr>
          <w:rFonts w:ascii="Noto Sans CJK SC" w:hAnsi="Noto Sans CJK SC" w:eastAsia="Noto Sans CJK SC"/>
          <w:b/>
          <w:color w:val="2563EB"/>
          <w:sz w:val="21"/>
        </w:rPr>
        <w:t xml:space="preserve">•  </w:t>
      </w:r>
      <w:r>
        <w:rPr>
          <w:rFonts w:ascii="Noto Sans CJK SC" w:hAnsi="Noto Sans CJK SC" w:eastAsia="Noto Sans CJK SC"/>
          <w:b w:val="0"/>
          <w:color w:val="1F2937"/>
          <w:sz w:val="21"/>
        </w:rPr>
        <w:t>支持所有业务指标。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rPr>
          <w:cantSplit/>
        </w:trPr>
        <w:tc>
          <w:tcPr>
            <w:tcW w:type="dxa" w:w="9632"/>
            <w:shd w:fill="ECFDF5"/>
            <w:tcBorders>
              <w:top w:val="single" w:sz="10" w:color="059669"/>
              <w:left w:val="single" w:sz="16" w:color="059669"/>
              <w:bottom w:val="single" w:sz="10" w:color="059669"/>
              <w:right w:val="single" w:sz="10" w:color="059669"/>
            </w:tcBorders>
          </w:tcPr>
          <w:p>
            <w:r>
              <w:rPr>
                <w:rFonts w:ascii="Noto Sans CJK SC" w:hAnsi="Noto Sans CJK SC" w:eastAsia="Noto Sans CJK SC"/>
                <w:b/>
                <w:color w:val="059669"/>
                <w:sz w:val="21"/>
              </w:rPr>
              <w:t>MVP边界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DataPilot第一版仅在限定指标、限定维度、限定数据表范围内执行只读查询。范围外问题应明确说明不支持，并提供转人工入口。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7. 核心用户流程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4"/>
        <w:gridCol w:w="7824"/>
      </w:tblGrid>
      <w:tr>
        <w:trPr>
          <w:cantSplit/>
        </w:trPr>
        <w:tc>
          <w:tcPr>
            <w:tcW w:type="dxa" w:w="4816"/>
            <w:shd w:fill="2563E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</w:t>
            </w:r>
          </w:p>
        </w:tc>
        <w:tc>
          <w:tcPr>
            <w:tcW w:type="dxa" w:w="481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用户输入自然语言问题</w:t>
            </w:r>
          </w:p>
        </w:tc>
      </w:tr>
      <w:tr>
        <w:trPr>
          <w:cantSplit/>
        </w:trPr>
        <w:tc>
          <w:tcPr>
            <w:tcW w:type="dxa" w:w="4816"/>
            <w:shd w:fill="4F7BE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2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AI提取查询参数</w:t>
            </w:r>
          </w:p>
        </w:tc>
      </w:tr>
      <w:tr>
        <w:trPr>
          <w:cantSplit/>
        </w:trPr>
        <w:tc>
          <w:tcPr>
            <w:tcW w:type="dxa" w:w="4816"/>
            <w:shd w:fill="2563E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3</w:t>
            </w:r>
          </w:p>
        </w:tc>
        <w:tc>
          <w:tcPr>
            <w:tcW w:type="dxa" w:w="481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规则系统检查参数是否完整</w:t>
            </w:r>
          </w:p>
        </w:tc>
      </w:tr>
      <w:tr>
        <w:trPr>
          <w:cantSplit/>
        </w:trPr>
        <w:tc>
          <w:tcPr>
            <w:tcW w:type="dxa" w:w="4816"/>
            <w:shd w:fill="4F7BE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4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参数不完整时向用户追问</w:t>
            </w:r>
          </w:p>
        </w:tc>
      </w:tr>
      <w:tr>
        <w:trPr>
          <w:cantSplit/>
        </w:trPr>
        <w:tc>
          <w:tcPr>
            <w:tcW w:type="dxa" w:w="4816"/>
            <w:shd w:fill="2563E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5</w:t>
            </w:r>
          </w:p>
        </w:tc>
        <w:tc>
          <w:tcPr>
            <w:tcW w:type="dxa" w:w="481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匹配指标口径</w:t>
            </w:r>
          </w:p>
        </w:tc>
      </w:tr>
      <w:tr>
        <w:trPr>
          <w:cantSplit/>
        </w:trPr>
        <w:tc>
          <w:tcPr>
            <w:tcW w:type="dxa" w:w="4816"/>
            <w:shd w:fill="4F7BE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6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用户确认查询条件</w:t>
            </w:r>
          </w:p>
        </w:tc>
      </w:tr>
      <w:tr>
        <w:trPr>
          <w:cantSplit/>
        </w:trPr>
        <w:tc>
          <w:tcPr>
            <w:tcW w:type="dxa" w:w="4816"/>
            <w:shd w:fill="2563E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7</w:t>
            </w:r>
          </w:p>
        </w:tc>
        <w:tc>
          <w:tcPr>
            <w:tcW w:type="dxa" w:w="481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系统检查数据权限</w:t>
            </w:r>
          </w:p>
        </w:tc>
      </w:tr>
      <w:tr>
        <w:trPr>
          <w:cantSplit/>
        </w:trPr>
        <w:tc>
          <w:tcPr>
            <w:tcW w:type="dxa" w:w="4816"/>
            <w:shd w:fill="4F7BE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8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生成只读查询计划</w:t>
            </w:r>
          </w:p>
        </w:tc>
      </w:tr>
      <w:tr>
        <w:trPr>
          <w:cantSplit/>
        </w:trPr>
        <w:tc>
          <w:tcPr>
            <w:tcW w:type="dxa" w:w="4816"/>
            <w:shd w:fill="2563E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9</w:t>
            </w:r>
          </w:p>
        </w:tc>
        <w:tc>
          <w:tcPr>
            <w:tcW w:type="dxa" w:w="481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执行SQL</w:t>
            </w:r>
          </w:p>
        </w:tc>
      </w:tr>
      <w:tr>
        <w:trPr>
          <w:cantSplit/>
        </w:trPr>
        <w:tc>
          <w:tcPr>
            <w:tcW w:type="dxa" w:w="4816"/>
            <w:shd w:fill="4F7BE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10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检查数据质量</w:t>
            </w:r>
          </w:p>
        </w:tc>
      </w:tr>
      <w:tr>
        <w:trPr>
          <w:cantSplit/>
        </w:trPr>
        <w:tc>
          <w:tcPr>
            <w:tcW w:type="dxa" w:w="4816"/>
            <w:shd w:fill="2563E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11</w:t>
            </w:r>
          </w:p>
        </w:tc>
        <w:tc>
          <w:tcPr>
            <w:tcW w:type="dxa" w:w="481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AI生成结果解释</w:t>
            </w:r>
          </w:p>
        </w:tc>
      </w:tr>
      <w:tr>
        <w:trPr>
          <w:cantSplit/>
        </w:trPr>
        <w:tc>
          <w:tcPr>
            <w:tcW w:type="dxa" w:w="4816"/>
            <w:shd w:fill="4F7BE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12</w:t>
            </w:r>
          </w:p>
        </w:tc>
        <w:tc>
          <w:tcPr>
            <w:tcW w:type="dxa" w:w="4816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展示指标口径和数据来源</w:t>
            </w:r>
          </w:p>
        </w:tc>
      </w:tr>
      <w:tr>
        <w:trPr>
          <w:cantSplit/>
        </w:trPr>
        <w:tc>
          <w:tcPr>
            <w:tcW w:type="dxa" w:w="4816"/>
            <w:shd w:fill="2563E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13</w:t>
            </w:r>
          </w:p>
        </w:tc>
        <w:tc>
          <w:tcPr>
            <w:tcW w:type="dxa" w:w="4816"/>
            <w:shd w:fill="F8FAF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用户反馈或转人工</w:t>
            </w:r>
          </w:p>
        </w:tc>
      </w:tr>
    </w:tbl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7.1 责任分工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环节</w:t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主要责任方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理解自然语言、识别分析意图、解释结果</w:t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AI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处理语义理解和自然语言表达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参数完整性、权限、SQL执行、数据质量、日志</w:t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规则系统/数据库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保证确定性、安全性和可追踪性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指标维护、高风险审核、异常处理、最终决策</w:t>
            </w:r>
          </w:p>
        </w:tc>
        <w:tc>
          <w:tcPr>
            <w:tcW w:type="dxa" w:w="198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人工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承担治理和业务责任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8. 成功指标</w:t>
      </w: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8.1 北极星指标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rPr>
          <w:cantSplit/>
        </w:trPr>
        <w:tc>
          <w:tcPr>
            <w:tcW w:type="dxa" w:w="9632"/>
            <w:shd w:fill="EAF1FF"/>
            <w:tcBorders>
              <w:top w:val="single" w:sz="10" w:color="2563EB"/>
              <w:left w:val="single" w:sz="16" w:color="2563EB"/>
              <w:bottom w:val="single" w:sz="10" w:color="2563EB"/>
              <w:right w:val="single" w:sz="10" w:color="2563EB"/>
            </w:tcBorders>
          </w:tcPr>
          <w:p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AI自助取数任务成功率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用户确认可用且未转人工的查询任务数 ÷ 全部有效查询任务数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8.2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指标层级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指标名称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效率指标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平均取数时间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从用户提交问题到获得可用结果的平均时间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效率指标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分析师重复取数工时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数据分析师处理重复、低复杂度取数的总工时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产品指标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查询完成率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成功完成查询并展示结果的任务占比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产品指标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结果采纳率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用户确认结果可直接使用的任务占比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产品指标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转人工率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需要转交数据分析师的任务占比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模型/系统指标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指标识别准确率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系统识别出的指标与标准答案一致的比例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模型/系统指标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参数提取准确率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时间、地区、对比周期等参数提取正确的比例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模型/系统指标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SQL执行成功率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生成SQL成功执行且返回结果的比例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模型/系统指标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查询结果准确率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系统结果与人工标准结果一致的比例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模型/系统指标</w:t>
            </w:r>
          </w:p>
        </w:tc>
        <w:tc>
          <w:tcPr>
            <w:tcW w:type="dxa" w:w="238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数据来源展示率</w:t>
            </w:r>
          </w:p>
        </w:tc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结果中完整展示来源与更新时间的比例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Noto Sans CJK SC" w:hAnsi="Noto Sans CJK SC" w:eastAsia="Noto Sans CJK SC"/>
          <w:b/>
          <w:color w:val="1F2937"/>
          <w:sz w:val="25"/>
        </w:rPr>
        <w:t>8.3 MVP建议目标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指标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建议目标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指标识别准确率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≥ 90%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关键参数追问准确率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≥ 85%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SQL执行成功率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≥ 90%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查询结果准确率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≥ 95%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平均取数时间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≤ 5分钟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结果采纳率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≥ 70%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转人工率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≤ 30%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数据来源展示率</w:t>
            </w:r>
          </w:p>
        </w:tc>
        <w:tc>
          <w:tcPr>
            <w:tcW w:type="dxa" w:w="4082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100%</w:t>
            </w:r>
          </w:p>
        </w:tc>
      </w:tr>
    </w:tbl>
    <w:p>
      <w:pPr>
        <w:spacing w:after="0"/>
      </w:pPr>
    </w:p>
    <w:p>
      <w:pPr>
        <w:spacing w:before="0" w:after="12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color w:val="1F2937"/>
          <w:sz w:val="21"/>
        </w:rPr>
        <w:t>上述数值为MVP阶段的建议目标，需通过真实测试集或模拟测试进行验证，不应在未测试的情况下声称已达成。</w:t>
      </w: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9. 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风险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可能后果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控制措施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指标口径匹配错误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数字正确但业务含义错误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展示指标定义；高歧义指标必须追问；允许用户确认和修改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SQL生成错误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重复计算、漏算或使用错误数据表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限定表和字段；优先使用模板；执行前校验；保留查询日志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数据权限泄露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敏感数据被未授权用户访问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查询前权限校验；最小权限原则；敏感字段脱敏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数据尚未同步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基于不完整数据生成错误结论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展示更新时间；检测同步状态；异常时停止分析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AI过度解释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把相关性表述为因果关系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事实与推测分区；无证据时使用不确定性表达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数据库被修改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业务数据损坏或不可恢复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MVP仅允许SELECT；禁止所有写操作；数据库账号只读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结果无法追踪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无法复盘错误和定位责任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保存用户问题、结构化参数、SQL、结果、版本和用户反馈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高风险结论被直接采用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造成错误经营决策</w:t>
            </w:r>
          </w:p>
        </w:tc>
        <w:tc>
          <w:tcPr>
            <w:tcW w:type="dxa" w:w="385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高风险场景转人工；明确AI仅提供辅助分析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附录A：术语说明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术语</w:t>
            </w:r>
          </w:p>
        </w:tc>
        <w:tc>
          <w:tcPr>
            <w:tcW w:type="dxa" w:w="63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指标口径</w:t>
            </w:r>
          </w:p>
        </w:tc>
        <w:tc>
          <w:tcPr>
            <w:tcW w:type="dxa" w:w="63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指标的业务定义、计算公式、数据来源、适用范围和更新时间。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结构化查询计划</w:t>
            </w:r>
          </w:p>
        </w:tc>
        <w:tc>
          <w:tcPr>
            <w:tcW w:type="dxa" w:w="63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将自然语言问题转换为指标、时间、地区、维度等明确参数的中间表示。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Bad Case</w:t>
            </w:r>
          </w:p>
        </w:tc>
        <w:tc>
          <w:tcPr>
            <w:tcW w:type="dxa" w:w="63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系统输出错误、无法完成或用户认为无效的案例。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只读SQL</w:t>
            </w:r>
          </w:p>
        </w:tc>
        <w:tc>
          <w:tcPr>
            <w:tcW w:type="dxa" w:w="63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仅用于查询数据、不产生数据库修改的SQL语句。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转人工</w:t>
            </w:r>
          </w:p>
        </w:tc>
        <w:tc>
          <w:tcPr>
            <w:tcW w:type="dxa" w:w="63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系统无法安全、准确完成任务时，将问题交由数据分析师处理。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结果采纳率</w:t>
            </w:r>
          </w:p>
        </w:tc>
        <w:tc>
          <w:tcPr>
            <w:tcW w:type="dxa" w:w="6350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用户确认AI输出可以直接用于工作任务的比例。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60"/>
        <w:pBdr>
          <w:bottom w:val="single" w:sz="8" w:space="4" w:color="2563EB"/>
        </w:pBdr>
      </w:pPr>
      <w:r>
        <w:rPr>
          <w:rFonts w:ascii="Noto Sans CJK SC" w:hAnsi="Noto Sans CJK SC" w:eastAsia="Noto Sans CJK SC"/>
          <w:b/>
          <w:color w:val="2563EB"/>
          <w:sz w:val="32"/>
        </w:rPr>
        <w:t>附录B：MVP功能清单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序号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功能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MVP状态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E8EEF8"/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/>
                <w:color w:val="1F2937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自然语言提问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核心入口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缺失信息追问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避免系统猜测关键参数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指标口径匹配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统一业务定义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查询条件确认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用户执行前确认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只读SQL查询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限定数据范围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6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结果与来源展示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保证可解释和可追溯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7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用户反馈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收集Bad Case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8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转人工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必须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异常和高风险兜底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9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完整BI看板生成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暂不支持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超出MVP范围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10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预测未来GMV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暂不支持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需要独立建模与验证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11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自动制定经营策略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暂不支持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业务风险高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12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数据库写入操作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禁止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安全边界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13</w:t>
            </w:r>
          </w:p>
        </w:tc>
        <w:tc>
          <w:tcPr>
            <w:tcW w:type="dxa" w:w="2835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多Agent协作</w:t>
            </w:r>
          </w:p>
        </w:tc>
        <w:tc>
          <w:tcPr>
            <w:tcW w:type="dxa" w:w="1701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暂不支持</w:t>
            </w:r>
          </w:p>
        </w:tc>
        <w:tc>
          <w:tcPr>
            <w:tcW w:type="dxa" w:w="3288"/>
            <w:vAlign w:val="center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19"/>
              </w:rPr>
              <w:t>当前无必要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28"/>
      </w:tblGrid>
      <w:tr>
        <w:trPr>
          <w:cantSplit/>
        </w:trPr>
        <w:tc>
          <w:tcPr>
            <w:tcW w:type="dxa" w:w="9632"/>
            <w:shd w:fill="EAF1FF"/>
            <w:tcBorders>
              <w:top w:val="single" w:sz="10" w:color="2563EB"/>
              <w:left w:val="single" w:sz="16" w:color="2563EB"/>
              <w:bottom w:val="single" w:sz="10" w:color="2563EB"/>
              <w:right w:val="single" w:sz="10" w:color="2563EB"/>
            </w:tcBorders>
          </w:tcPr>
          <w:p>
            <w:r>
              <w:rPr>
                <w:rFonts w:ascii="Noto Sans CJK SC" w:hAnsi="Noto Sans CJK SC" w:eastAsia="Noto Sans CJK SC"/>
                <w:b/>
                <w:color w:val="2563EB"/>
                <w:sz w:val="21"/>
              </w:rPr>
              <w:t>下一阶段建议</w:t>
            </w:r>
          </w:p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 w:val="0"/>
                <w:color w:val="1F2937"/>
                <w:sz w:val="20"/>
              </w:rPr>
              <w:t>基于本PRD继续设计指标口径库的数据结构、查询日志表、30条测试集和10条Bad Case，并制作4个核心页面的Figma原型。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7280"/>
        <w:sz w:val="17"/>
      </w:rPr>
      <w:t>DataPilot AI数据助手 · PRD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DataPilot AI数据助手 PRD v0.1</dc:title>
  <dc:subject>AI数据助手MVP产品需求文档</dc:subject>
  <dc:creator>杨妍月</dc:creator>
  <cp:keywords>AI产品经理, PRD, DataPilot, AI数据助手,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