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ECF3F" w14:textId="3C32EBC9" w:rsidR="00907C74" w:rsidRDefault="00241C82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BCCCB7" wp14:editId="61659E75">
            <wp:simplePos x="0" y="0"/>
            <wp:positionH relativeFrom="page">
              <wp:align>center</wp:align>
            </wp:positionH>
            <wp:positionV relativeFrom="paragraph">
              <wp:posOffset>485278</wp:posOffset>
            </wp:positionV>
            <wp:extent cx="7384276" cy="5888872"/>
            <wp:effectExtent l="0" t="0" r="7620" b="0"/>
            <wp:wrapNone/>
            <wp:docPr id="1" name="图片 1" descr="C:\Users\yanbo\AppData\Local\Temp\360zip$Temp\360$0\考试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bo\AppData\Local\Temp\360zip$Temp\360$0\考试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2" b="32466"/>
                    <a:stretch/>
                  </pic:blipFill>
                  <pic:spPr bwMode="auto">
                    <a:xfrm>
                      <a:off x="0" y="0"/>
                      <a:ext cx="7384276" cy="588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7B0">
        <w:rPr>
          <w:rFonts w:ascii="方正小标宋简体" w:eastAsia="方正小标宋简体" w:hint="eastAsia"/>
          <w:sz w:val="44"/>
          <w:szCs w:val="44"/>
        </w:rPr>
        <w:t>概念题/填空题</w:t>
      </w:r>
    </w:p>
    <w:p w14:paraId="56B926FF" w14:textId="4D1BBD1D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B1259DC" w14:textId="770EAC2F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06FA4DB" w14:textId="3614471E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2F91068" w14:textId="67F73CB2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2E06D7B" w14:textId="5DFCAE77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B2279CC" w14:textId="24A7691E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5786DDA" w14:textId="381B28C0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4F71E74" w14:textId="487F64FE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337A6C6" w14:textId="363E4C4B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CC2BEF5" w14:textId="36249D36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5B00326" w14:textId="3C759D2D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71B8F0F" w14:textId="3934BC65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4C67205" w14:textId="0C111079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5B19F98" w14:textId="0A442F16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4CF208D" w14:textId="4920BEF4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84A68B1" w14:textId="09E623A3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37BA7D1" w14:textId="221953C3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BE421BD" w14:textId="22F0060D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9F4E457" w14:textId="7A725D1D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A58A275" w14:textId="5F152DBB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5AFC454" w14:textId="51108417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222B7EA" w14:textId="46E6C78F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5905ABD" w14:textId="6DF5F041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F0EE786" w14:textId="42488AA2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2F7B408" w14:textId="73C2418A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E593288" w14:textId="0A130ECF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9442712" w14:textId="5BEA3DED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07D62E7" w14:textId="5E2A2AA2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440A64D" w14:textId="3DC52877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755E278" w14:textId="0E81466B" w:rsidR="00FB2163" w:rsidRDefault="00241C82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1</w:t>
      </w:r>
      <w:r>
        <w:rPr>
          <w:rFonts w:ascii="仿宋_GB2312" w:eastAsia="仿宋_GB2312"/>
          <w:sz w:val="32"/>
          <w:szCs w:val="32"/>
        </w:rPr>
        <w:t>.</w:t>
      </w:r>
      <w:r w:rsidR="00FB2163" w:rsidRPr="00FB2163">
        <w:rPr>
          <w:rFonts w:ascii="仿宋_GB2312" w:eastAsia="仿宋_GB2312" w:hint="eastAsia"/>
          <w:sz w:val="32"/>
          <w:szCs w:val="32"/>
        </w:rPr>
        <w:t>毁伤区域</w:t>
      </w:r>
      <w:r w:rsidR="00096EB3">
        <w:rPr>
          <w:rFonts w:ascii="仿宋_GB2312" w:eastAsia="仿宋_GB2312" w:hint="eastAsia"/>
          <w:sz w:val="32"/>
          <w:szCs w:val="32"/>
        </w:rPr>
        <w:t>，</w:t>
      </w:r>
      <w:r w:rsidR="00EC4960" w:rsidRPr="00EC4960">
        <w:rPr>
          <w:rFonts w:ascii="仿宋_GB2312" w:eastAsia="仿宋_GB2312" w:hint="eastAsia"/>
          <w:sz w:val="32"/>
          <w:szCs w:val="32"/>
        </w:rPr>
        <w:t>毁伤区域是武器系统对目标产生有效毁伤的空间范围的量化表征，核心是通过概率论、几何分析与目标易损性建模实现精准刻画。它指在给定射击（或投送）条件下，武器战斗部（如弹药、战斗</w:t>
      </w:r>
      <w:r w:rsidR="00EC4960">
        <w:rPr>
          <w:rFonts w:ascii="仿宋_GB2312" w:eastAsia="仿宋_GB2312" w:hint="eastAsia"/>
          <w:sz w:val="32"/>
          <w:szCs w:val="32"/>
        </w:rPr>
        <w:t>部装药）使目标（人员、装备、工事等）丧失规定作战功能的空间集合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48E266F5" w14:textId="77777777" w:rsidR="00FB2163" w:rsidRDefault="00FB216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23C381E2" w14:textId="4FB8B73B" w:rsidR="00FB2163" w:rsidRDefault="00241C82" w:rsidP="002E2899">
      <w:pPr>
        <w:adjustRightInd w:val="0"/>
        <w:snapToGrid w:val="0"/>
        <w:rPr>
          <w:rFonts w:ascii="仿宋_GB2312" w:eastAsia="仿宋_GB2312" w:hint="eastAsia"/>
          <w:noProof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 w:rsidR="00FB2163" w:rsidRPr="00FB2163">
        <w:rPr>
          <w:rFonts w:ascii="仿宋_GB2312" w:eastAsia="仿宋_GB2312" w:hint="eastAsia"/>
          <w:sz w:val="32"/>
          <w:szCs w:val="32"/>
        </w:rPr>
        <w:t>基</w:t>
      </w:r>
      <w:r w:rsidR="00FB2163">
        <w:rPr>
          <w:rFonts w:ascii="仿宋_GB2312" w:eastAsia="仿宋_GB2312" w:hint="eastAsia"/>
          <w:sz w:val="32"/>
          <w:szCs w:val="32"/>
        </w:rPr>
        <w:t>，</w:t>
      </w:r>
      <w:r w:rsidR="00EC4960" w:rsidRPr="00EC4960">
        <w:rPr>
          <w:rFonts w:ascii="仿宋_GB2312" w:eastAsia="仿宋_GB2312" w:hint="eastAsia"/>
          <w:sz w:val="32"/>
          <w:szCs w:val="32"/>
        </w:rPr>
        <w:t>是从约束方程组系数矩阵中选取的最大线性无关列向量组，是构造基可行解与迭代寻优的核心工具。</w:t>
      </w:r>
    </w:p>
    <w:p w14:paraId="0E3436BC" w14:textId="77777777" w:rsidR="00FB2163" w:rsidRPr="00C606E0" w:rsidRDefault="00FB2163" w:rsidP="002E2899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0032E362" w14:textId="428F5C33" w:rsidR="00FB2163" w:rsidRDefault="00FB216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.</w:t>
      </w:r>
      <w:r w:rsidRPr="00FB2163">
        <w:rPr>
          <w:rFonts w:ascii="仿宋_GB2312" w:eastAsia="仿宋_GB2312" w:hint="eastAsia"/>
          <w:sz w:val="32"/>
          <w:szCs w:val="32"/>
        </w:rPr>
        <w:t>统筹法</w:t>
      </w:r>
      <w:r w:rsidR="00C606E0">
        <w:rPr>
          <w:rFonts w:ascii="仿宋_GB2312" w:eastAsia="仿宋_GB2312"/>
          <w:sz w:val="32"/>
          <w:szCs w:val="32"/>
        </w:rPr>
        <w:t>,</w:t>
      </w:r>
      <w:r w:rsidR="00C606E0" w:rsidRPr="00C606E0">
        <w:rPr>
          <w:rFonts w:hint="eastAsia"/>
        </w:rPr>
        <w:t xml:space="preserve"> </w:t>
      </w:r>
      <w:r w:rsidR="00C606E0" w:rsidRPr="00C606E0">
        <w:rPr>
          <w:rFonts w:ascii="仿宋_GB2312" w:eastAsia="仿宋_GB2312" w:hint="eastAsia"/>
          <w:sz w:val="32"/>
          <w:szCs w:val="32"/>
        </w:rPr>
        <w:t>针对有多个步骤的复杂任务（如作战行动、军事工程开展），梳理步骤的先后顺序与相互联系，找出关键步骤（关键路线），进而合理安排时间、调配资源，</w:t>
      </w:r>
      <w:proofErr w:type="gramStart"/>
      <w:r w:rsidR="00C606E0" w:rsidRPr="00C606E0">
        <w:rPr>
          <w:rFonts w:ascii="仿宋_GB2312" w:eastAsia="仿宋_GB2312" w:hint="eastAsia"/>
          <w:sz w:val="32"/>
          <w:szCs w:val="32"/>
        </w:rPr>
        <w:t>让任务</w:t>
      </w:r>
      <w:proofErr w:type="gramEnd"/>
      <w:r w:rsidR="00C606E0" w:rsidRPr="00C606E0">
        <w:rPr>
          <w:rFonts w:ascii="仿宋_GB2312" w:eastAsia="仿宋_GB2312" w:hint="eastAsia"/>
          <w:sz w:val="32"/>
          <w:szCs w:val="32"/>
        </w:rPr>
        <w:t>高效完成的方法</w:t>
      </w:r>
      <w:r w:rsidR="00C606E0">
        <w:rPr>
          <w:rFonts w:ascii="仿宋_GB2312" w:eastAsia="仿宋_GB2312" w:hint="eastAsia"/>
          <w:sz w:val="32"/>
          <w:szCs w:val="32"/>
        </w:rPr>
        <w:t>。</w:t>
      </w:r>
    </w:p>
    <w:p w14:paraId="194BD972" w14:textId="77777777" w:rsidR="00FB2163" w:rsidRDefault="00FB216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5C35158C" w14:textId="72B5B8F3" w:rsidR="00FB2163" w:rsidRDefault="00FB216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.</w:t>
      </w:r>
      <w:r w:rsidRPr="00FB2163">
        <w:rPr>
          <w:rFonts w:ascii="仿宋_GB2312" w:eastAsia="仿宋_GB2312" w:hint="eastAsia"/>
          <w:sz w:val="32"/>
          <w:szCs w:val="32"/>
        </w:rPr>
        <w:t>混合策略</w:t>
      </w:r>
      <w:r w:rsidR="00AB1939">
        <w:rPr>
          <w:rFonts w:ascii="仿宋_GB2312" w:eastAsia="仿宋_GB2312" w:hint="eastAsia"/>
          <w:sz w:val="32"/>
          <w:szCs w:val="32"/>
        </w:rPr>
        <w:t>，</w:t>
      </w:r>
      <w:r w:rsidR="00AB1939" w:rsidRPr="00AB1939">
        <w:rPr>
          <w:rFonts w:ascii="仿宋_GB2312" w:eastAsia="仿宋_GB2312" w:hint="eastAsia"/>
          <w:sz w:val="32"/>
          <w:szCs w:val="32"/>
        </w:rPr>
        <w:t>是指参与方（攻方、守方、信息博弈方等）以概率分布随机选择多个纯策略（确定的单一行动方案）的策略组合，核心是通过“不确定性”提升对抗效能。</w:t>
      </w:r>
    </w:p>
    <w:p w14:paraId="3F0C4F32" w14:textId="77777777" w:rsidR="00FB2163" w:rsidRDefault="00FB216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0517A05A" w14:textId="4ECC1A2F" w:rsidR="00907C74" w:rsidRDefault="00FB216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.</w:t>
      </w:r>
      <w:r w:rsidRPr="00FB2163">
        <w:rPr>
          <w:rFonts w:ascii="仿宋_GB2312" w:eastAsia="仿宋_GB2312" w:hint="eastAsia"/>
          <w:sz w:val="32"/>
          <w:szCs w:val="32"/>
        </w:rPr>
        <w:t>单兵战斗力</w:t>
      </w:r>
      <w:r w:rsidR="00ED0B26">
        <w:rPr>
          <w:rFonts w:ascii="仿宋_GB2312" w:eastAsia="仿宋_GB2312" w:hint="eastAsia"/>
          <w:sz w:val="32"/>
          <w:szCs w:val="32"/>
        </w:rPr>
        <w:t>，</w:t>
      </w:r>
      <w:r w:rsidR="00ED0B26" w:rsidRPr="00ED0B26">
        <w:rPr>
          <w:rFonts w:ascii="仿宋_GB2312" w:eastAsia="仿宋_GB2312" w:hint="eastAsia"/>
          <w:sz w:val="32"/>
          <w:szCs w:val="32"/>
        </w:rPr>
        <w:t>是对单个士兵作战能力的综合量化，需通过多指标体系构建与量化聚合方法（如层次分析、模糊数学、贝叶斯网络）实现科学评估。</w:t>
      </w:r>
    </w:p>
    <w:p w14:paraId="437C83F4" w14:textId="350439FA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6A468C9" w14:textId="77777777" w:rsidR="00FB2163" w:rsidRDefault="00FB216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</w:p>
    <w:sectPr w:rsidR="00FB2163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96EB3"/>
    <w:rsid w:val="000A03D4"/>
    <w:rsid w:val="000C1A19"/>
    <w:rsid w:val="00103AD7"/>
    <w:rsid w:val="00107D59"/>
    <w:rsid w:val="00137CEC"/>
    <w:rsid w:val="0014727D"/>
    <w:rsid w:val="001B5FFA"/>
    <w:rsid w:val="001D57BF"/>
    <w:rsid w:val="002158B0"/>
    <w:rsid w:val="00241C82"/>
    <w:rsid w:val="00282CF5"/>
    <w:rsid w:val="00286005"/>
    <w:rsid w:val="002E2899"/>
    <w:rsid w:val="003127EF"/>
    <w:rsid w:val="00342702"/>
    <w:rsid w:val="003576E6"/>
    <w:rsid w:val="00484613"/>
    <w:rsid w:val="004A1E93"/>
    <w:rsid w:val="004E3BC6"/>
    <w:rsid w:val="00596F95"/>
    <w:rsid w:val="005E6A49"/>
    <w:rsid w:val="005F4F5C"/>
    <w:rsid w:val="005F6B7A"/>
    <w:rsid w:val="006251B3"/>
    <w:rsid w:val="00651818"/>
    <w:rsid w:val="00676F57"/>
    <w:rsid w:val="006E0D15"/>
    <w:rsid w:val="006E55F9"/>
    <w:rsid w:val="007473FD"/>
    <w:rsid w:val="008B1331"/>
    <w:rsid w:val="008E76C4"/>
    <w:rsid w:val="00907C74"/>
    <w:rsid w:val="00A22886"/>
    <w:rsid w:val="00A33E4F"/>
    <w:rsid w:val="00A52D92"/>
    <w:rsid w:val="00A53D08"/>
    <w:rsid w:val="00A933DC"/>
    <w:rsid w:val="00AB1939"/>
    <w:rsid w:val="00AC7020"/>
    <w:rsid w:val="00AF0C48"/>
    <w:rsid w:val="00B846B7"/>
    <w:rsid w:val="00BC3252"/>
    <w:rsid w:val="00BD1439"/>
    <w:rsid w:val="00BF5E86"/>
    <w:rsid w:val="00C524B3"/>
    <w:rsid w:val="00C606E0"/>
    <w:rsid w:val="00C944E3"/>
    <w:rsid w:val="00CD77B0"/>
    <w:rsid w:val="00CD7F0C"/>
    <w:rsid w:val="00CE52FA"/>
    <w:rsid w:val="00CF3175"/>
    <w:rsid w:val="00E237AB"/>
    <w:rsid w:val="00E76812"/>
    <w:rsid w:val="00EC4960"/>
    <w:rsid w:val="00ED0B26"/>
    <w:rsid w:val="00F147DA"/>
    <w:rsid w:val="00F54E21"/>
    <w:rsid w:val="00FA6873"/>
    <w:rsid w:val="00FB2163"/>
    <w:rsid w:val="00FC782C"/>
    <w:rsid w:val="02247C97"/>
    <w:rsid w:val="06053772"/>
    <w:rsid w:val="07E04497"/>
    <w:rsid w:val="0884149B"/>
    <w:rsid w:val="09FC6C3A"/>
    <w:rsid w:val="0A4A209B"/>
    <w:rsid w:val="0B212DFC"/>
    <w:rsid w:val="0B7C0033"/>
    <w:rsid w:val="0DA01912"/>
    <w:rsid w:val="0E0A401C"/>
    <w:rsid w:val="0E813BB2"/>
    <w:rsid w:val="0EA87B9E"/>
    <w:rsid w:val="0F3B0205"/>
    <w:rsid w:val="11D32452"/>
    <w:rsid w:val="124B69B1"/>
    <w:rsid w:val="12753A2E"/>
    <w:rsid w:val="12E070F9"/>
    <w:rsid w:val="12E14A8F"/>
    <w:rsid w:val="13DD188A"/>
    <w:rsid w:val="15744470"/>
    <w:rsid w:val="176A78D9"/>
    <w:rsid w:val="19EF056A"/>
    <w:rsid w:val="1ACE017F"/>
    <w:rsid w:val="1B734F11"/>
    <w:rsid w:val="1B9273FE"/>
    <w:rsid w:val="1BAF1D5E"/>
    <w:rsid w:val="1BD712B5"/>
    <w:rsid w:val="1C7B7E93"/>
    <w:rsid w:val="1CE02281"/>
    <w:rsid w:val="1DA6450C"/>
    <w:rsid w:val="1F66307C"/>
    <w:rsid w:val="20915ED7"/>
    <w:rsid w:val="20C067BC"/>
    <w:rsid w:val="22A00659"/>
    <w:rsid w:val="231150AD"/>
    <w:rsid w:val="23CD5478"/>
    <w:rsid w:val="24275640"/>
    <w:rsid w:val="246C2EE2"/>
    <w:rsid w:val="24B2466D"/>
    <w:rsid w:val="274106B7"/>
    <w:rsid w:val="296E23EE"/>
    <w:rsid w:val="29FA4AED"/>
    <w:rsid w:val="2B674404"/>
    <w:rsid w:val="2B794137"/>
    <w:rsid w:val="2BE05F64"/>
    <w:rsid w:val="2E20089A"/>
    <w:rsid w:val="2F0707FB"/>
    <w:rsid w:val="310A7634"/>
    <w:rsid w:val="31A87524"/>
    <w:rsid w:val="323A4620"/>
    <w:rsid w:val="3264169D"/>
    <w:rsid w:val="34784F8C"/>
    <w:rsid w:val="34DB19BE"/>
    <w:rsid w:val="36462E68"/>
    <w:rsid w:val="388D2FD0"/>
    <w:rsid w:val="38FE4957"/>
    <w:rsid w:val="3B082DE1"/>
    <w:rsid w:val="3B3D2A8B"/>
    <w:rsid w:val="3B492FEA"/>
    <w:rsid w:val="3B556027"/>
    <w:rsid w:val="3D606F05"/>
    <w:rsid w:val="3F827606"/>
    <w:rsid w:val="405368AD"/>
    <w:rsid w:val="432C24B3"/>
    <w:rsid w:val="46157C11"/>
    <w:rsid w:val="46D92A73"/>
    <w:rsid w:val="47C54534"/>
    <w:rsid w:val="48547666"/>
    <w:rsid w:val="48831CF9"/>
    <w:rsid w:val="48E629B4"/>
    <w:rsid w:val="491F2710"/>
    <w:rsid w:val="4A076836"/>
    <w:rsid w:val="4A7E7BF1"/>
    <w:rsid w:val="4B2E283F"/>
    <w:rsid w:val="4BEB208F"/>
    <w:rsid w:val="4C1C049B"/>
    <w:rsid w:val="4D84279B"/>
    <w:rsid w:val="4DB43081"/>
    <w:rsid w:val="4EF05017"/>
    <w:rsid w:val="571A05BC"/>
    <w:rsid w:val="58256929"/>
    <w:rsid w:val="58262DCD"/>
    <w:rsid w:val="587F428B"/>
    <w:rsid w:val="58FE733D"/>
    <w:rsid w:val="5B4B48F9"/>
    <w:rsid w:val="5CE943C9"/>
    <w:rsid w:val="60F82E2D"/>
    <w:rsid w:val="614D1FBB"/>
    <w:rsid w:val="61947E33"/>
    <w:rsid w:val="6315416A"/>
    <w:rsid w:val="64446389"/>
    <w:rsid w:val="653B778C"/>
    <w:rsid w:val="67694A84"/>
    <w:rsid w:val="67851192"/>
    <w:rsid w:val="67B0620F"/>
    <w:rsid w:val="691E26C3"/>
    <w:rsid w:val="6BD050D2"/>
    <w:rsid w:val="6C111246"/>
    <w:rsid w:val="707D334E"/>
    <w:rsid w:val="727B566C"/>
    <w:rsid w:val="72952BD1"/>
    <w:rsid w:val="73C82B32"/>
    <w:rsid w:val="74123DAE"/>
    <w:rsid w:val="74DF6386"/>
    <w:rsid w:val="773329B9"/>
    <w:rsid w:val="79A11E5C"/>
    <w:rsid w:val="7A682B6F"/>
    <w:rsid w:val="7D1B0177"/>
    <w:rsid w:val="7D8A2C07"/>
    <w:rsid w:val="7ECE61B9"/>
    <w:rsid w:val="7F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E049"/>
  <w15:docId w15:val="{FFF9CC54-343D-4CC4-928B-09B1B39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闫博文</dc:creator>
  <cp:lastModifiedBy>闫博文</cp:lastModifiedBy>
  <cp:revision>122</cp:revision>
  <dcterms:created xsi:type="dcterms:W3CDTF">2025-09-20T05:14:00Z</dcterms:created>
  <dcterms:modified xsi:type="dcterms:W3CDTF">2025-10-15T08:08:00Z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eyJoZGlkIjoiNjVlMzlkZTY4NjA3MGJkMGNkZDZkOGFjZGNkMjY5ZGIiLCJ1c2VySWQiOiIyODE3OTg5MjgifQ==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4F062054600B46CD86457746058B5940_12</vt:lpwstr>
  </property>
</Properties>
</file>