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ind w:firstLine="0"/>
        <w:jc w:val="center"/>
      </w:pPr>
      <w:r>
        <w:rPr>
          <w:rFonts w:ascii="Times New Roman" w:hAnsi="Times New Roman" w:eastAsia="SimHei" w:cs="Times New Roman"/>
          <w:b/>
          <w:i w:val="0"/>
          <w:color w:val="000000"/>
          <w:sz w:val="40"/>
        </w:rPr>
        <w:t>近红外双目立体视觉系统研发总结报告</w:t>
        <w:br/>
        <w:t>（第 01 周：系统架构、实机标定与初始三维重建）</w:t>
      </w:r>
    </w:p>
    <w:p>
      <w:pPr>
        <w:spacing w:after="240"/>
        <w:ind w:firstLine="0"/>
        <w:jc w:val="center"/>
      </w:pPr>
      <w:r>
        <w:rPr>
          <w:rFonts w:ascii="Times New Roman" w:hAnsi="Times New Roman" w:eastAsia="KaiTi" w:cs="Times New Roman"/>
          <w:b w:val="0"/>
          <w:i w:val="0"/>
          <w:color w:val="000000"/>
          <w:sz w:val="28"/>
        </w:rPr>
        <w:t>研发周期：2026年9月19日 ~ 2026年9月22日</w:t>
      </w:r>
    </w:p>
    <w:p>
      <w:pPr>
        <w:spacing w:before="120" w:after="60" w:line="288" w:lineRule="auto"/>
        <w:ind w:firstLine="0"/>
        <w:jc w:val="center"/>
      </w:pPr>
      <w:r>
        <w:rPr>
          <w:rFonts w:ascii="Times New Roman" w:hAnsi="Times New Roman" w:eastAsia="SimSun" w:cs="Times New Roman"/>
          <w:b/>
          <w:i w:val="0"/>
          <w:color w:val="000000"/>
          <w:sz w:val="21"/>
        </w:rPr>
        <w:t>表 1 第 01 周研发成果与核心标定指标摘要</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024"/>
        <w:gridCol w:w="3024"/>
        <w:gridCol w:w="3024"/>
      </w:tblGrid>
      <w:tr>
        <w:tc>
          <w:tcPr>
            <w:tcW w:type="dxa" w:w="3024"/>
            <w:tcBorders>
              <w:bottom w:val="single" w:sz="6" w:space="0" w:color="000000"/>
            </w:tcBorders>
            <w:tcMar>
              <w:top w:w="80" w:type="dxa"/>
              <w:bottom w:w="80" w:type="dxa"/>
              <w:left w:w="100" w:type="dxa"/>
              <w:right w:w="100" w:type="dxa"/>
            </w:tcMar>
          </w:tcPr>
          <w:p>
            <w:pPr>
              <w:jc w:val="center"/>
            </w:pPr>
            <w:r>
              <w:rPr>
                <w:rFonts w:ascii="Times New Roman" w:hAnsi="Times New Roman" w:eastAsia="SimHei" w:cs="Times New Roman"/>
                <w:b/>
                <w:i w:val="0"/>
                <w:color w:val="000000"/>
                <w:sz w:val="21"/>
              </w:rPr>
              <w:t>研发项目</w:t>
            </w:r>
          </w:p>
        </w:tc>
        <w:tc>
          <w:tcPr>
            <w:tcW w:type="dxa" w:w="3024"/>
            <w:tcBorders>
              <w:bottom w:val="single" w:sz="6" w:space="0" w:color="000000"/>
            </w:tcBorders>
            <w:tcMar>
              <w:top w:w="80" w:type="dxa"/>
              <w:bottom w:w="80" w:type="dxa"/>
              <w:left w:w="100" w:type="dxa"/>
              <w:right w:w="100" w:type="dxa"/>
            </w:tcMar>
          </w:tcPr>
          <w:p>
            <w:pPr>
              <w:jc w:val="center"/>
            </w:pPr>
            <w:r>
              <w:rPr>
                <w:rFonts w:ascii="Times New Roman" w:hAnsi="Times New Roman" w:eastAsia="SimHei" w:cs="Times New Roman"/>
                <w:b/>
                <w:i w:val="0"/>
                <w:color w:val="000000"/>
                <w:sz w:val="21"/>
              </w:rPr>
              <w:t>实测结果</w:t>
            </w:r>
          </w:p>
        </w:tc>
        <w:tc>
          <w:tcPr>
            <w:tcW w:type="dxa" w:w="3024"/>
            <w:tcBorders>
              <w:bottom w:val="single" w:sz="6" w:space="0" w:color="000000"/>
            </w:tcBorders>
            <w:tcMar>
              <w:top w:w="80" w:type="dxa"/>
              <w:bottom w:w="80" w:type="dxa"/>
              <w:left w:w="100" w:type="dxa"/>
              <w:right w:w="100" w:type="dxa"/>
            </w:tcMar>
          </w:tcPr>
          <w:p>
            <w:pPr>
              <w:jc w:val="center"/>
            </w:pPr>
            <w:r>
              <w:rPr>
                <w:rFonts w:ascii="Times New Roman" w:hAnsi="Times New Roman" w:eastAsia="SimHei" w:cs="Times New Roman"/>
                <w:b/>
                <w:i w:val="0"/>
                <w:color w:val="000000"/>
                <w:sz w:val="21"/>
              </w:rPr>
              <w:t>工程达标状态</w:t>
            </w:r>
          </w:p>
        </w:tc>
      </w:tr>
      <w:tr>
        <w:tc>
          <w:tcPr>
            <w:tcW w:type="dxa" w:w="3024"/>
            <w:tcMar>
              <w:top w:w="60" w:type="dxa"/>
              <w:bottom w:w="60" w:type="dxa"/>
              <w:left w:w="80" w:type="dxa"/>
              <w:right w:w="80" w:type="dxa"/>
            </w:tcMar>
          </w:tcPr>
          <w:p>
            <w:pPr>
              <w:jc w:val="left"/>
            </w:pPr>
            <w:r>
              <w:rPr>
                <w:rFonts w:ascii="Times New Roman" w:hAnsi="Times New Roman" w:eastAsia="SimSun" w:cs="Times New Roman"/>
                <w:b/>
                <w:i w:val="0"/>
                <w:color w:val="000000"/>
                <w:sz w:val="21"/>
              </w:rPr>
              <w:t>相机标定重投影误差</w:t>
            </w:r>
          </w:p>
        </w:tc>
        <w:tc>
          <w:tcPr>
            <w:tcW w:type="dxa" w:w="3024"/>
            <w:tcMar>
              <w:top w:w="60" w:type="dxa"/>
              <w:bottom w:w="60" w:type="dxa"/>
              <w:left w:w="80" w:type="dxa"/>
              <w:right w:w="80" w:type="dxa"/>
            </w:tcMar>
          </w:tcPr>
          <w:p>
            <w:pPr>
              <w:jc w:val="center"/>
            </w:pPr>
            <w:r>
              <w:rPr>
                <w:rFonts w:ascii="Times New Roman" w:hAnsi="Times New Roman" w:eastAsia="SimSun" w:cs="Times New Roman"/>
                <w:b w:val="0"/>
                <w:i w:val="0"/>
                <w:color w:val="000000"/>
                <w:sz w:val="21"/>
              </w:rPr>
              <w:t>RMS = 0.07697 px (0.077 px)</w:t>
            </w:r>
          </w:p>
        </w:tc>
        <w:tc>
          <w:tcPr>
            <w:tcW w:type="dxa" w:w="3024"/>
            <w:tcMar>
              <w:top w:w="60" w:type="dxa"/>
              <w:bottom w:w="60" w:type="dxa"/>
              <w:left w:w="80" w:type="dxa"/>
              <w:right w:w="80" w:type="dxa"/>
            </w:tcMar>
          </w:tcPr>
          <w:p>
            <w:pPr>
              <w:jc w:val="left"/>
            </w:pPr>
            <w:r>
              <w:rPr>
                <w:rFonts w:ascii="Times New Roman" w:hAnsi="Times New Roman" w:eastAsia="SimSun" w:cs="Times New Roman"/>
                <w:b w:val="0"/>
                <w:i w:val="0"/>
                <w:color w:val="000000"/>
                <w:sz w:val="21"/>
              </w:rPr>
              <w:t>满足小于 0.1 px 的工业视觉标定常规指标</w:t>
            </w:r>
          </w:p>
        </w:tc>
      </w:tr>
      <w:tr>
        <w:tc>
          <w:tcPr>
            <w:tcW w:type="dxa" w:w="3024"/>
            <w:tcMar>
              <w:top w:w="60" w:type="dxa"/>
              <w:bottom w:w="60" w:type="dxa"/>
              <w:left w:w="80" w:type="dxa"/>
              <w:right w:w="80" w:type="dxa"/>
            </w:tcMar>
          </w:tcPr>
          <w:p>
            <w:pPr>
              <w:jc w:val="left"/>
            </w:pPr>
            <w:r>
              <w:rPr>
                <w:rFonts w:ascii="Times New Roman" w:hAnsi="Times New Roman" w:eastAsia="SimSun" w:cs="Times New Roman"/>
                <w:b/>
                <w:i w:val="0"/>
                <w:color w:val="000000"/>
                <w:sz w:val="21"/>
              </w:rPr>
              <w:t>物理基线实测值</w:t>
            </w:r>
          </w:p>
        </w:tc>
        <w:tc>
          <w:tcPr>
            <w:tcW w:type="dxa" w:w="3024"/>
            <w:tcMar>
              <w:top w:w="60" w:type="dxa"/>
              <w:bottom w:w="60" w:type="dxa"/>
              <w:left w:w="80" w:type="dxa"/>
              <w:right w:w="80" w:type="dxa"/>
            </w:tcMar>
          </w:tcPr>
          <w:p>
            <w:pPr>
              <w:jc w:val="center"/>
            </w:pPr>
            <w:r>
              <w:rPr>
                <w:rFonts w:ascii="Times New Roman" w:hAnsi="Times New Roman" w:eastAsia="SimSun" w:cs="Times New Roman"/>
                <w:b w:val="0"/>
                <w:i w:val="0"/>
                <w:color w:val="000000"/>
                <w:sz w:val="21"/>
              </w:rPr>
              <w:t>60.0087 mm (基线偏差约 0.01 mm)</w:t>
            </w:r>
          </w:p>
        </w:tc>
        <w:tc>
          <w:tcPr>
            <w:tcW w:type="dxa" w:w="3024"/>
            <w:tcMar>
              <w:top w:w="60" w:type="dxa"/>
              <w:bottom w:w="60" w:type="dxa"/>
              <w:left w:w="80" w:type="dxa"/>
              <w:right w:w="80" w:type="dxa"/>
            </w:tcMar>
          </w:tcPr>
          <w:p>
            <w:pPr>
              <w:jc w:val="left"/>
            </w:pPr>
            <w:r>
              <w:rPr>
                <w:rFonts w:ascii="Times New Roman" w:hAnsi="Times New Roman" w:eastAsia="SimSun" w:cs="Times New Roman"/>
                <w:b w:val="0"/>
                <w:i w:val="0"/>
                <w:color w:val="000000"/>
                <w:sz w:val="21"/>
              </w:rPr>
              <w:t>两相机光心物理间距符合设计理论要求</w:t>
            </w:r>
          </w:p>
        </w:tc>
      </w:tr>
      <w:tr>
        <w:tc>
          <w:tcPr>
            <w:tcW w:type="dxa" w:w="3024"/>
            <w:tcMar>
              <w:top w:w="60" w:type="dxa"/>
              <w:bottom w:w="60" w:type="dxa"/>
              <w:left w:w="80" w:type="dxa"/>
              <w:right w:w="80" w:type="dxa"/>
            </w:tcMar>
          </w:tcPr>
          <w:p>
            <w:pPr>
              <w:jc w:val="left"/>
            </w:pPr>
            <w:r>
              <w:rPr>
                <w:rFonts w:ascii="Times New Roman" w:hAnsi="Times New Roman" w:eastAsia="SimSun" w:cs="Times New Roman"/>
                <w:b/>
                <w:i w:val="0"/>
                <w:color w:val="000000"/>
                <w:sz w:val="21"/>
              </w:rPr>
              <w:t>立体极线校正误差</w:t>
            </w:r>
          </w:p>
        </w:tc>
        <w:tc>
          <w:tcPr>
            <w:tcW w:type="dxa" w:w="3024"/>
            <w:tcMar>
              <w:top w:w="60" w:type="dxa"/>
              <w:bottom w:w="60" w:type="dxa"/>
              <w:left w:w="80" w:type="dxa"/>
              <w:right w:w="80" w:type="dxa"/>
            </w:tcMar>
          </w:tcPr>
          <w:p>
            <w:pPr>
              <w:jc w:val="center"/>
            </w:pPr>
            <w:r>
              <w:rPr>
                <w:rFonts w:ascii="Times New Roman" w:hAnsi="Times New Roman" w:eastAsia="SimSun" w:cs="Times New Roman"/>
                <w:b w:val="0"/>
                <w:i w:val="0"/>
                <w:color w:val="000000"/>
                <w:sz w:val="21"/>
              </w:rPr>
              <w:t>垂直极线偏差 &lt; 0.1 px</w:t>
            </w:r>
          </w:p>
        </w:tc>
        <w:tc>
          <w:tcPr>
            <w:tcW w:type="dxa" w:w="3024"/>
            <w:tcMar>
              <w:top w:w="60" w:type="dxa"/>
              <w:bottom w:w="60" w:type="dxa"/>
              <w:left w:w="80" w:type="dxa"/>
              <w:right w:w="80" w:type="dxa"/>
            </w:tcMar>
          </w:tcPr>
          <w:p>
            <w:pPr>
              <w:jc w:val="left"/>
            </w:pPr>
            <w:r>
              <w:rPr>
                <w:rFonts w:ascii="Times New Roman" w:hAnsi="Times New Roman" w:eastAsia="SimSun" w:cs="Times New Roman"/>
                <w:b w:val="0"/>
                <w:i w:val="0"/>
                <w:color w:val="000000"/>
                <w:sz w:val="21"/>
              </w:rPr>
              <w:t>实现水平行对齐，满足立体视差搜索条件</w:t>
            </w:r>
          </w:p>
        </w:tc>
      </w:tr>
      <w:tr>
        <w:tc>
          <w:tcPr>
            <w:tcW w:type="dxa" w:w="3024"/>
            <w:tcMar>
              <w:top w:w="60" w:type="dxa"/>
              <w:bottom w:w="60" w:type="dxa"/>
              <w:left w:w="80" w:type="dxa"/>
              <w:right w:w="80" w:type="dxa"/>
            </w:tcMar>
          </w:tcPr>
          <w:p>
            <w:pPr>
              <w:jc w:val="left"/>
            </w:pPr>
            <w:r>
              <w:rPr>
                <w:rFonts w:ascii="Times New Roman" w:hAnsi="Times New Roman" w:eastAsia="SimSun" w:cs="Times New Roman"/>
                <w:b/>
                <w:i w:val="0"/>
                <w:color w:val="000000"/>
                <w:sz w:val="21"/>
              </w:rPr>
              <w:t>传统 SGBM 重建测试</w:t>
            </w:r>
          </w:p>
        </w:tc>
        <w:tc>
          <w:tcPr>
            <w:tcW w:type="dxa" w:w="3024"/>
            <w:tcMar>
              <w:top w:w="60" w:type="dxa"/>
              <w:bottom w:w="60" w:type="dxa"/>
              <w:left w:w="80" w:type="dxa"/>
              <w:right w:w="80" w:type="dxa"/>
            </w:tcMar>
          </w:tcPr>
          <w:p>
            <w:pPr>
              <w:jc w:val="center"/>
            </w:pPr>
            <w:r>
              <w:rPr>
                <w:rFonts w:ascii="Times New Roman" w:hAnsi="Times New Roman" w:eastAsia="SimSun" w:cs="Times New Roman"/>
                <w:b w:val="0"/>
                <w:i w:val="0"/>
                <w:color w:val="000000"/>
                <w:sz w:val="21"/>
              </w:rPr>
              <w:t>点云数约 38.6 万点 (视差覆盖率 68.4%)</w:t>
            </w:r>
          </w:p>
        </w:tc>
        <w:tc>
          <w:tcPr>
            <w:tcW w:type="dxa" w:w="3024"/>
            <w:tcMar>
              <w:top w:w="60" w:type="dxa"/>
              <w:bottom w:w="60" w:type="dxa"/>
              <w:left w:w="80" w:type="dxa"/>
              <w:right w:w="80" w:type="dxa"/>
            </w:tcMar>
          </w:tcPr>
          <w:p>
            <w:pPr>
              <w:jc w:val="left"/>
            </w:pPr>
            <w:r>
              <w:rPr>
                <w:rFonts w:ascii="Times New Roman" w:hAnsi="Times New Roman" w:eastAsia="SimSun" w:cs="Times New Roman"/>
                <w:b w:val="0"/>
                <w:i w:val="0"/>
                <w:color w:val="000000"/>
                <w:sz w:val="21"/>
              </w:rPr>
              <w:t>大面积弱纹理区域存在视差黑洞，亟需算法升级</w:t>
            </w:r>
          </w:p>
        </w:tc>
      </w:tr>
    </w:tbl>
    <w:p>
      <w:pPr>
        <w:spacing w:before="240" w:after="120" w:line="360" w:lineRule="auto"/>
        <w:ind w:firstLine="0"/>
      </w:pPr>
      <w:r>
        <w:rPr>
          <w:rFonts w:ascii="Times New Roman" w:hAnsi="Times New Roman" w:eastAsia="SimHei" w:cs="Times New Roman"/>
          <w:b/>
          <w:i w:val="0"/>
          <w:color w:val="000000"/>
          <w:sz w:val="30"/>
        </w:rPr>
        <w:t>一、 本周研发工作总览</w:t>
      </w:r>
    </w:p>
    <w:p>
      <w:pPr>
        <w:spacing w:before="0" w:after="0" w:line="360" w:lineRule="auto"/>
        <w:ind w:firstLine="480"/>
        <w:jc w:val="both"/>
      </w:pPr>
      <w:r>
        <w:rPr>
          <w:rFonts w:ascii="Times New Roman" w:hAnsi="Times New Roman" w:eastAsia="SimSun" w:cs="Times New Roman"/>
          <w:b w:val="0"/>
          <w:i w:val="0"/>
          <w:color w:val="000000"/>
          <w:sz w:val="24"/>
        </w:rPr>
        <w:t>本周重点完成了近红外双目视觉系统的基础架构搭建与底层硬件几何标定。团队采用海康工业双目模组 MV-CU013-A0UM，基于标准 11×9 (20mm) 平面标定板采集了 12 组多姿态立体像对，利用亚像素级张氏标定法解算出内外参数（重投影 RMS 为 0.077 px，满足工业常规合格要求）。在此基础上建立了 Bouguet 水平极线校正查找表，并跑通了传统 SGBM 算法的三维点云初始重建流水线。</w:t>
      </w:r>
    </w:p>
    <w:p>
      <w:pPr>
        <w:spacing w:before="240" w:after="120" w:line="360" w:lineRule="auto"/>
        <w:ind w:firstLine="0"/>
      </w:pPr>
      <w:r>
        <w:rPr>
          <w:rFonts w:ascii="Times New Roman" w:hAnsi="Times New Roman" w:eastAsia="SimHei" w:cs="Times New Roman"/>
          <w:b/>
          <w:i w:val="0"/>
          <w:color w:val="000000"/>
          <w:sz w:val="30"/>
        </w:rPr>
        <w:t>二、 真实海康相机标定试验与数据评定</w:t>
      </w:r>
    </w:p>
    <w:p>
      <w:pPr>
        <w:spacing w:before="0" w:after="0" w:line="360" w:lineRule="auto"/>
        <w:ind w:firstLine="480"/>
        <w:jc w:val="both"/>
      </w:pPr>
      <w:r>
        <w:rPr>
          <w:rFonts w:ascii="Times New Roman" w:hAnsi="Times New Roman" w:eastAsia="SimSun" w:cs="Times New Roman"/>
          <w:b w:val="0"/>
          <w:i w:val="0"/>
          <w:color w:val="000000"/>
          <w:sz w:val="24"/>
        </w:rPr>
        <w:t>图 1 展示了真实海康工业相机在标定试验中采集的原始立体像对：</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36"/>
        <w:gridCol w:w="4536"/>
      </w:tblGrid>
      <w:tr>
        <w:tc>
          <w:tcPr>
            <w:tcW w:type="dxa" w:w="4536"/>
          </w:tcPr>
          <w:p>
            <w:pPr>
              <w:spacing w:before="40" w:after="40"/>
              <w:ind w:firstLine="0"/>
              <w:jc w:val="center"/>
            </w:pPr>
            <w:r>
              <w:drawing>
                <wp:inline xmlns:a="http://schemas.openxmlformats.org/drawingml/2006/main" xmlns:pic="http://schemas.openxmlformats.org/drawingml/2006/picture">
                  <wp:extent cx="2468880" cy="1851660"/>
                  <wp:docPr id="1" name="Picture 1"/>
                  <wp:cNvGraphicFramePr>
                    <a:graphicFrameLocks noChangeAspect="1"/>
                  </wp:cNvGraphicFramePr>
                  <a:graphic>
                    <a:graphicData uri="http://schemas.openxmlformats.org/drawingml/2006/picture">
                      <pic:pic>
                        <pic:nvPicPr>
                          <pic:cNvPr id="0" name="left_01.png"/>
                          <pic:cNvPicPr/>
                        </pic:nvPicPr>
                        <pic:blipFill>
                          <a:blip r:embed="rId9"/>
                          <a:stretch>
                            <a:fillRect/>
                          </a:stretch>
                        </pic:blipFill>
                        <pic:spPr>
                          <a:xfrm>
                            <a:off x="0" y="0"/>
                            <a:ext cx="2468880" cy="1851660"/>
                          </a:xfrm>
                          <a:prstGeom prst="rect"/>
                        </pic:spPr>
                      </pic:pic>
                    </a:graphicData>
                  </a:graphic>
                </wp:inline>
              </w:drawing>
            </w:r>
          </w:p>
        </w:tc>
        <w:tc>
          <w:tcPr>
            <w:tcW w:type="dxa" w:w="4536"/>
          </w:tcPr>
          <w:p>
            <w:pPr>
              <w:spacing w:before="40" w:after="40"/>
              <w:ind w:firstLine="0"/>
              <w:jc w:val="center"/>
            </w:pPr>
            <w:r>
              <w:drawing>
                <wp:inline xmlns:a="http://schemas.openxmlformats.org/drawingml/2006/main" xmlns:pic="http://schemas.openxmlformats.org/drawingml/2006/picture">
                  <wp:extent cx="2468880" cy="1851660"/>
                  <wp:docPr id="2" name="Picture 2"/>
                  <wp:cNvGraphicFramePr>
                    <a:graphicFrameLocks noChangeAspect="1"/>
                  </wp:cNvGraphicFramePr>
                  <a:graphic>
                    <a:graphicData uri="http://schemas.openxmlformats.org/drawingml/2006/picture">
                      <pic:pic>
                        <pic:nvPicPr>
                          <pic:cNvPr id="0" name="right_01.png"/>
                          <pic:cNvPicPr/>
                        </pic:nvPicPr>
                        <pic:blipFill>
                          <a:blip r:embed="rId10"/>
                          <a:stretch>
                            <a:fillRect/>
                          </a:stretch>
                        </pic:blipFill>
                        <pic:spPr>
                          <a:xfrm>
                            <a:off x="0" y="0"/>
                            <a:ext cx="2468880" cy="1851660"/>
                          </a:xfrm>
                          <a:prstGeom prst="rect"/>
                        </pic:spPr>
                      </pic:pic>
                    </a:graphicData>
                  </a:graphic>
                </wp:inline>
              </w:drawing>
            </w:r>
          </w:p>
        </w:tc>
      </w:tr>
    </w:tbl>
    <w:p>
      <w:pPr>
        <w:spacing w:before="60" w:after="120" w:line="288" w:lineRule="auto"/>
        <w:ind w:firstLine="0"/>
        <w:jc w:val="center"/>
      </w:pPr>
      <w:r>
        <w:rPr>
          <w:rFonts w:ascii="Times New Roman" w:hAnsi="Times New Roman" w:eastAsia="SimSun" w:cs="Times New Roman"/>
          <w:b w:val="0"/>
          <w:i w:val="0"/>
          <w:color w:val="000000"/>
          <w:sz w:val="21"/>
        </w:rPr>
        <w:t>图 1 真实海康相机拍摄的 11×9 标定板像对（左：左目原图；右：右目原图）</w:t>
      </w:r>
    </w:p>
    <w:p>
      <w:pPr>
        <w:spacing w:before="80" w:after="40"/>
        <w:ind w:firstLine="0"/>
        <w:jc w:val="center"/>
      </w:pPr>
      <w:r>
        <w:drawing>
          <wp:inline xmlns:a="http://schemas.openxmlformats.org/drawingml/2006/main" xmlns:pic="http://schemas.openxmlformats.org/drawingml/2006/picture">
            <wp:extent cx="4754880" cy="3566160"/>
            <wp:docPr id="3" name="Picture 3"/>
            <wp:cNvGraphicFramePr>
              <a:graphicFrameLocks noChangeAspect="1"/>
            </wp:cNvGraphicFramePr>
            <a:graphic>
              <a:graphicData uri="http://schemas.openxmlformats.org/drawingml/2006/picture">
                <pic:pic>
                  <pic:nvPicPr>
                    <pic:cNvPr id="0" name="detected_corners_01.png"/>
                    <pic:cNvPicPr/>
                  </pic:nvPicPr>
                  <pic:blipFill>
                    <a:blip r:embed="rId11"/>
                    <a:stretch>
                      <a:fillRect/>
                    </a:stretch>
                  </pic:blipFill>
                  <pic:spPr>
                    <a:xfrm>
                      <a:off x="0" y="0"/>
                      <a:ext cx="4754880" cy="356616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2 标定板亚像素角点检测与网格拓扑识别结果</w:t>
      </w:r>
    </w:p>
    <w:p>
      <w:pPr>
        <w:spacing w:before="0" w:after="0" w:line="360" w:lineRule="auto"/>
        <w:ind w:firstLine="480"/>
        <w:jc w:val="both"/>
      </w:pPr>
      <w:r>
        <w:rPr>
          <w:rFonts w:ascii="Times New Roman" w:hAnsi="Times New Roman" w:eastAsia="SimSun" w:cs="Times New Roman"/>
          <w:b w:val="0"/>
          <w:i w:val="0"/>
          <w:color w:val="000000"/>
          <w:sz w:val="24"/>
        </w:rPr>
        <w:t>实测标定数据表明：左相机焦距 fx = 1421.55 px，fy = 1421.55 px，主点 cx = 639.32 px，cy = 478.27 px；右相机焦距 fx = 1421.29 px，fy = 1421.29 px，主点 cx = 640.69 px，cy = 478.86 px。左右目光学焦距对称性良好，差异仅 0.26 px；外参平移向量模长为 60.01 mm，吻合机械设计基线要求。</w:t>
      </w:r>
    </w:p>
    <w:p>
      <w:pPr>
        <w:spacing w:before="240" w:after="120" w:line="360" w:lineRule="auto"/>
        <w:ind w:firstLine="0"/>
      </w:pPr>
      <w:r>
        <w:rPr>
          <w:rFonts w:ascii="Times New Roman" w:hAnsi="Times New Roman" w:eastAsia="SimHei" w:cs="Times New Roman"/>
          <w:b/>
          <w:i w:val="0"/>
          <w:color w:val="000000"/>
          <w:sz w:val="30"/>
        </w:rPr>
        <w:t>三、 初始三维重建与技术痛点分析</w:t>
      </w:r>
    </w:p>
    <w:p>
      <w:pPr>
        <w:spacing w:before="0" w:after="0" w:line="360" w:lineRule="auto"/>
        <w:ind w:firstLine="480"/>
        <w:jc w:val="both"/>
      </w:pPr>
      <w:r>
        <w:rPr>
          <w:rFonts w:ascii="Times New Roman" w:hAnsi="Times New Roman" w:eastAsia="SimSun" w:cs="Times New Roman"/>
          <w:b w:val="0"/>
          <w:i w:val="0"/>
          <w:color w:val="000000"/>
          <w:sz w:val="24"/>
        </w:rPr>
        <w:t>在完成极线校正后，初步采用 OpenCV SGBM 算法进行点云重建。实测显示：在物体边缘强纹理处点云较为清晰，但在大面积白墙、柜门等弱纹理区域因匹配代价不鲜明产生大面积视差黑洞（视差覆盖率仅 68.4%），点云呈现阶梯状断裂，需要在后续工作中引入更具全局感知能力的深度学习模型。</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