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jc w:val="center"/>
      </w:pPr>
      <w:r>
        <w:rPr>
          <w:rFonts w:ascii="Microsoft YaHei" w:hAnsi="Microsoft YaHei" w:eastAsia="Microsoft YaHei"/>
          <w:b/>
          <w:color w:val="1F4E79"/>
          <w:sz w:val="40"/>
        </w:rPr>
        <w:t>近红外双目立体视觉与三维点云重建工程</w:t>
      </w:r>
    </w:p>
    <w:p>
      <w:pPr>
        <w:spacing w:after="320"/>
        <w:jc w:val="center"/>
      </w:pPr>
      <w:r>
        <w:rPr>
          <w:rFonts w:ascii="Microsoft YaHei" w:hAnsi="Microsoft YaHei" w:eastAsia="Microsoft YaHei"/>
          <w:color w:val="595959"/>
          <w:sz w:val="24"/>
        </w:rPr>
        <w:t>每周研发总结报告与下一阶段任务规划 (2026.09.19 ~ 2026.09.22)</w:t>
      </w:r>
    </w:p>
    <w:tbl>
      <w:tblPr>
        <w:tblW w:type="auto" w:w="0"/>
        <w:jc w:val="center"/>
        <w:tblLook w:firstColumn="1" w:firstRow="1" w:lastColumn="0" w:lastRow="0" w:noHBand="0" w:noVBand="1" w:val="04A0"/>
      </w:tblPr>
      <w:tblGrid>
        <w:gridCol w:w="2484"/>
        <w:gridCol w:w="2484"/>
        <w:gridCol w:w="2484"/>
        <w:gridCol w:w="2484"/>
      </w:tblGrid>
      <w:tr>
        <w:tc>
          <w:tcPr>
            <w:tcW w:type="dxa" w:w="2484"/>
            <w:tcMar>
              <w:top w:w="80" w:type="dxa"/>
              <w:bottom w:w="80" w:type="dxa"/>
              <w:left w:w="100" w:type="dxa"/>
              <w:right w:w="100" w:type="dxa"/>
            </w:tcMar>
            <w:shd w:fill="F2F4F7"/>
          </w:tcPr>
          <w:p>
            <w:pPr>
              <w:spacing w:after="0"/>
              <w:jc w:val="center"/>
            </w:pPr>
            <w:r>
              <w:rPr>
                <w:rFonts w:ascii="Microsoft YaHei" w:hAnsi="Microsoft YaHei" w:eastAsia="Microsoft YaHei"/>
                <w:b/>
                <w:color w:val="1F4E79"/>
                <w:sz w:val="19"/>
              </w:rPr>
              <w:t>项目名称</w:t>
            </w:r>
          </w:p>
        </w:tc>
        <w:tc>
          <w:tcPr>
            <w:tcW w:type="dxa" w:w="2484"/>
            <w:tcMar>
              <w:top w:w="80" w:type="dxa"/>
              <w:bottom w:w="80" w:type="dxa"/>
              <w:left w:w="100" w:type="dxa"/>
              <w:right w:w="100" w:type="dxa"/>
            </w:tcMar>
          </w:tcPr>
          <w:p>
            <w:pPr>
              <w:spacing w:after="0"/>
              <w:jc w:val="center"/>
            </w:pPr>
            <w:r>
              <w:rPr>
                <w:rFonts w:ascii="Microsoft YaHei" w:hAnsi="Microsoft YaHei" w:eastAsia="Microsoft YaHei"/>
                <w:color w:val="282828"/>
                <w:sz w:val="19"/>
              </w:rPr>
              <w:t>近红外双目立体视觉系统</w:t>
            </w:r>
          </w:p>
        </w:tc>
        <w:tc>
          <w:tcPr>
            <w:tcW w:type="dxa" w:w="2484"/>
            <w:tcMar>
              <w:top w:w="80" w:type="dxa"/>
              <w:bottom w:w="80" w:type="dxa"/>
              <w:left w:w="100" w:type="dxa"/>
              <w:right w:w="100" w:type="dxa"/>
            </w:tcMar>
            <w:shd w:fill="F2F4F7"/>
          </w:tcPr>
          <w:p>
            <w:pPr>
              <w:spacing w:after="0"/>
              <w:jc w:val="center"/>
            </w:pPr>
            <w:r>
              <w:rPr>
                <w:rFonts w:ascii="Microsoft YaHei" w:hAnsi="Microsoft YaHei" w:eastAsia="Microsoft YaHei"/>
                <w:b/>
                <w:color w:val="1F4E79"/>
                <w:sz w:val="19"/>
              </w:rPr>
              <w:t>归档版本</w:t>
            </w:r>
          </w:p>
        </w:tc>
        <w:tc>
          <w:tcPr>
            <w:tcW w:type="dxa" w:w="2484"/>
            <w:tcMar>
              <w:top w:w="80" w:type="dxa"/>
              <w:bottom w:w="80" w:type="dxa"/>
              <w:left w:w="100" w:type="dxa"/>
              <w:right w:w="100" w:type="dxa"/>
            </w:tcMar>
          </w:tcPr>
          <w:p>
            <w:pPr>
              <w:spacing w:after="0"/>
              <w:jc w:val="center"/>
            </w:pPr>
            <w:r>
              <w:rPr>
                <w:rFonts w:ascii="Microsoft YaHei" w:hAnsi="Microsoft YaHei" w:eastAsia="Microsoft YaHei"/>
                <w:color w:val="282828"/>
                <w:sz w:val="19"/>
              </w:rPr>
              <w:t>v0.6.0 (Commit: d534cc4)</w:t>
            </w:r>
          </w:p>
        </w:tc>
      </w:tr>
      <w:tr>
        <w:tc>
          <w:tcPr>
            <w:tcW w:type="dxa" w:w="2484"/>
            <w:tcMar>
              <w:top w:w="80" w:type="dxa"/>
              <w:bottom w:w="80" w:type="dxa"/>
              <w:left w:w="100" w:type="dxa"/>
              <w:right w:w="100" w:type="dxa"/>
            </w:tcMar>
            <w:shd w:fill="F2F4F7"/>
          </w:tcPr>
          <w:p>
            <w:pPr>
              <w:spacing w:after="0"/>
              <w:jc w:val="center"/>
            </w:pPr>
            <w:r>
              <w:rPr>
                <w:rFonts w:ascii="Microsoft YaHei" w:hAnsi="Microsoft YaHei" w:eastAsia="Microsoft YaHei"/>
                <w:b/>
                <w:color w:val="1F4E79"/>
                <w:sz w:val="19"/>
              </w:rPr>
              <w:t>核心硬件</w:t>
            </w:r>
          </w:p>
        </w:tc>
        <w:tc>
          <w:tcPr>
            <w:tcW w:type="dxa" w:w="2484"/>
            <w:tcMar>
              <w:top w:w="80" w:type="dxa"/>
              <w:bottom w:w="80" w:type="dxa"/>
              <w:left w:w="100" w:type="dxa"/>
              <w:right w:w="100" w:type="dxa"/>
            </w:tcMar>
          </w:tcPr>
          <w:p>
            <w:pPr>
              <w:spacing w:after="0"/>
              <w:jc w:val="center"/>
            </w:pPr>
            <w:r>
              <w:rPr>
                <w:rFonts w:ascii="Microsoft YaHei" w:hAnsi="Microsoft YaHei" w:eastAsia="Microsoft YaHei"/>
                <w:color w:val="282828"/>
                <w:sz w:val="19"/>
              </w:rPr>
              <w:t>海康工业双目 (12mm镜头, 60mm基线)</w:t>
            </w:r>
          </w:p>
        </w:tc>
        <w:tc>
          <w:tcPr>
            <w:tcW w:type="dxa" w:w="2484"/>
            <w:tcMar>
              <w:top w:w="80" w:type="dxa"/>
              <w:bottom w:w="80" w:type="dxa"/>
              <w:left w:w="100" w:type="dxa"/>
              <w:right w:w="100" w:type="dxa"/>
            </w:tcMar>
            <w:shd w:fill="F2F4F7"/>
          </w:tcPr>
          <w:p>
            <w:pPr>
              <w:spacing w:after="0"/>
              <w:jc w:val="center"/>
            </w:pPr>
            <w:r>
              <w:rPr>
                <w:rFonts w:ascii="Microsoft YaHei" w:hAnsi="Microsoft YaHei" w:eastAsia="Microsoft YaHei"/>
                <w:b/>
                <w:color w:val="1F4E79"/>
                <w:sz w:val="19"/>
              </w:rPr>
              <w:t>当前状态</w:t>
            </w:r>
          </w:p>
        </w:tc>
        <w:tc>
          <w:tcPr>
            <w:tcW w:type="dxa" w:w="2484"/>
            <w:tcMar>
              <w:top w:w="80" w:type="dxa"/>
              <w:bottom w:w="80" w:type="dxa"/>
              <w:left w:w="100" w:type="dxa"/>
              <w:right w:w="100" w:type="dxa"/>
            </w:tcMar>
          </w:tcPr>
          <w:p>
            <w:pPr>
              <w:spacing w:after="0"/>
              <w:jc w:val="center"/>
            </w:pPr>
            <w:r>
              <w:rPr>
                <w:rFonts w:ascii="Microsoft YaHei" w:hAnsi="Microsoft YaHei" w:eastAsia="Microsoft YaHei"/>
                <w:color w:val="282828"/>
                <w:sz w:val="19"/>
              </w:rPr>
              <w:t>实机全自动重建流水线就绪</w:t>
            </w:r>
          </w:p>
        </w:tc>
      </w:tr>
      <w:tr>
        <w:tc>
          <w:tcPr>
            <w:tcW w:type="dxa" w:w="2484"/>
            <w:tcMar>
              <w:top w:w="80" w:type="dxa"/>
              <w:bottom w:w="80" w:type="dxa"/>
              <w:left w:w="100" w:type="dxa"/>
              <w:right w:w="100" w:type="dxa"/>
            </w:tcMar>
            <w:shd w:fill="F2F4F7"/>
          </w:tcPr>
          <w:p>
            <w:pPr>
              <w:spacing w:after="0"/>
              <w:jc w:val="center"/>
            </w:pPr>
            <w:r>
              <w:rPr>
                <w:rFonts w:ascii="Microsoft YaHei" w:hAnsi="Microsoft YaHei" w:eastAsia="Microsoft YaHei"/>
                <w:b/>
                <w:color w:val="1F4E79"/>
                <w:sz w:val="19"/>
              </w:rPr>
              <w:t>汇报周期</w:t>
            </w:r>
          </w:p>
        </w:tc>
        <w:tc>
          <w:tcPr>
            <w:tcW w:type="dxa" w:w="2484"/>
            <w:tcMar>
              <w:top w:w="80" w:type="dxa"/>
              <w:bottom w:w="80" w:type="dxa"/>
              <w:left w:w="100" w:type="dxa"/>
              <w:right w:w="100" w:type="dxa"/>
            </w:tcMar>
          </w:tcPr>
          <w:p>
            <w:pPr>
              <w:spacing w:after="0"/>
              <w:jc w:val="center"/>
            </w:pPr>
            <w:r>
              <w:rPr>
                <w:rFonts w:ascii="Microsoft YaHei" w:hAnsi="Microsoft YaHei" w:eastAsia="Microsoft YaHei"/>
                <w:color w:val="282828"/>
                <w:sz w:val="19"/>
              </w:rPr>
              <w:t>2026年9月19日 ~ 9月22日</w:t>
            </w:r>
          </w:p>
        </w:tc>
        <w:tc>
          <w:tcPr>
            <w:tcW w:type="dxa" w:w="2484"/>
            <w:tcMar>
              <w:top w:w="80" w:type="dxa"/>
              <w:bottom w:w="80" w:type="dxa"/>
              <w:left w:w="100" w:type="dxa"/>
              <w:right w:w="100" w:type="dxa"/>
            </w:tcMar>
            <w:shd w:fill="F2F4F7"/>
          </w:tcPr>
          <w:p>
            <w:pPr>
              <w:spacing w:after="0"/>
              <w:jc w:val="center"/>
            </w:pPr>
            <w:r>
              <w:rPr>
                <w:rFonts w:ascii="Microsoft YaHei" w:hAnsi="Microsoft YaHei" w:eastAsia="Microsoft YaHei"/>
                <w:b/>
                <w:color w:val="1F4E79"/>
                <w:sz w:val="19"/>
              </w:rPr>
              <w:t>标定精度</w:t>
            </w:r>
          </w:p>
        </w:tc>
        <w:tc>
          <w:tcPr>
            <w:tcW w:type="dxa" w:w="2484"/>
            <w:tcMar>
              <w:top w:w="80" w:type="dxa"/>
              <w:bottom w:w="80" w:type="dxa"/>
              <w:left w:w="100" w:type="dxa"/>
              <w:right w:w="100" w:type="dxa"/>
            </w:tcMar>
          </w:tcPr>
          <w:p>
            <w:pPr>
              <w:spacing w:after="0"/>
              <w:jc w:val="center"/>
            </w:pPr>
            <w:r>
              <w:rPr>
                <w:rFonts w:ascii="Microsoft YaHei" w:hAnsi="Microsoft YaHei" w:eastAsia="Microsoft YaHei"/>
                <w:color w:val="282828"/>
                <w:sz w:val="19"/>
              </w:rPr>
              <w:t>RMS = 0.077 px (高精度)</w:t>
            </w:r>
          </w:p>
        </w:tc>
      </w:tr>
      <w:tr>
        <w:tc>
          <w:tcPr>
            <w:tcW w:type="dxa" w:w="2484"/>
            <w:tcMar>
              <w:top w:w="80" w:type="dxa"/>
              <w:bottom w:w="80" w:type="dxa"/>
              <w:left w:w="100" w:type="dxa"/>
              <w:right w:w="100" w:type="dxa"/>
            </w:tcMar>
            <w:shd w:fill="F2F4F7"/>
          </w:tcPr>
          <w:p>
            <w:pPr>
              <w:spacing w:after="0"/>
              <w:jc w:val="center"/>
            </w:pPr>
            <w:r>
              <w:rPr>
                <w:rFonts w:ascii="Microsoft YaHei" w:hAnsi="Microsoft YaHei" w:eastAsia="Microsoft YaHei"/>
                <w:b/>
                <w:color w:val="1F4E79"/>
                <w:sz w:val="19"/>
              </w:rPr>
              <w:t>核心算法</w:t>
            </w:r>
          </w:p>
        </w:tc>
        <w:tc>
          <w:tcPr>
            <w:tcW w:type="dxa" w:w="2484"/>
            <w:tcMar>
              <w:top w:w="80" w:type="dxa"/>
              <w:bottom w:w="80" w:type="dxa"/>
              <w:left w:w="100" w:type="dxa"/>
              <w:right w:w="100" w:type="dxa"/>
            </w:tcMar>
          </w:tcPr>
          <w:p>
            <w:pPr>
              <w:spacing w:after="0"/>
              <w:jc w:val="center"/>
            </w:pPr>
            <w:r>
              <w:rPr>
                <w:rFonts w:ascii="Microsoft YaHei" w:hAnsi="Microsoft YaHei" w:eastAsia="Microsoft YaHei"/>
                <w:color w:val="282828"/>
                <w:sz w:val="19"/>
              </w:rPr>
              <w:t>ICCV 2025 SOTA GREAT-Stereo</w:t>
            </w:r>
          </w:p>
        </w:tc>
        <w:tc>
          <w:tcPr>
            <w:tcW w:type="dxa" w:w="2484"/>
            <w:tcMar>
              <w:top w:w="80" w:type="dxa"/>
              <w:bottom w:w="80" w:type="dxa"/>
              <w:left w:w="100" w:type="dxa"/>
              <w:right w:w="100" w:type="dxa"/>
            </w:tcMar>
            <w:shd w:fill="F2F4F7"/>
          </w:tcPr>
          <w:p>
            <w:pPr>
              <w:spacing w:after="0"/>
              <w:jc w:val="center"/>
            </w:pPr>
            <w:r>
              <w:rPr>
                <w:rFonts w:ascii="Microsoft YaHei" w:hAnsi="Microsoft YaHei" w:eastAsia="Microsoft YaHei"/>
                <w:b/>
                <w:color w:val="1F4E79"/>
                <w:sz w:val="19"/>
              </w:rPr>
              <w:t>点云产物</w:t>
            </w:r>
          </w:p>
        </w:tc>
        <w:tc>
          <w:tcPr>
            <w:tcW w:type="dxa" w:w="2484"/>
            <w:tcMar>
              <w:top w:w="80" w:type="dxa"/>
              <w:bottom w:w="80" w:type="dxa"/>
              <w:left w:w="100" w:type="dxa"/>
              <w:right w:w="100" w:type="dxa"/>
            </w:tcMar>
          </w:tcPr>
          <w:p>
            <w:pPr>
              <w:spacing w:after="0"/>
              <w:jc w:val="center"/>
            </w:pPr>
            <w:r>
              <w:rPr>
                <w:rFonts w:ascii="Microsoft YaHei" w:hAnsi="Microsoft YaHei" w:eastAsia="Microsoft YaHei"/>
                <w:color w:val="282828"/>
                <w:sz w:val="19"/>
              </w:rPr>
              <w:t>1,256,119 点 (100% 稠密覆盖)</w:t>
            </w:r>
          </w:p>
        </w:tc>
      </w:tr>
    </w:tbl>
    <w:p>
      <w:pPr>
        <w:spacing w:after="200"/>
      </w:pPr>
    </w:p>
    <w:p>
      <w:pPr>
        <w:pStyle w:val="Heading1"/>
        <w:spacing w:before="280" w:after="80"/>
      </w:pPr>
      <w:r>
        <w:rPr>
          <w:rFonts w:ascii="Microsoft YaHei" w:hAnsi="Microsoft YaHei" w:eastAsia="Microsoft YaHei"/>
          <w:b/>
          <w:color w:val="1F4E79"/>
          <w:sz w:val="30"/>
        </w:rPr>
        <w:t>一、 本周研发工作总览与里程碑</w:t>
      </w:r>
    </w:p>
    <w:p>
      <w:pPr>
        <w:spacing w:after="80" w:line="300" w:lineRule="auto"/>
      </w:pPr>
      <w:r>
        <w:rPr>
          <w:rFonts w:ascii="Microsoft YaHei" w:hAnsi="Microsoft YaHei" w:eastAsia="Microsoft YaHei"/>
          <w:b/>
          <w:color w:val="1F4E79"/>
          <w:sz w:val="21"/>
        </w:rPr>
        <w:t>【总体成果】</w:t>
      </w:r>
      <w:r>
        <w:rPr>
          <w:rFonts w:ascii="Microsoft YaHei" w:hAnsi="Microsoft YaHei" w:eastAsia="Microsoft YaHei"/>
          <w:color w:val="282828"/>
          <w:sz w:val="21"/>
        </w:rPr>
        <w:t>本周（2026.09.19 ~ 2026.09.22）完成了双目立体视觉项目从零构筑、底层物理建模、海康工业实机标定采集，到引入 ICCV 2025 SOTA 深度学习立体匹配模型（GREAT-Stereo）的完整跨越。目前系统已具备全自动化运行能力，实机重建点云规模达到 125.6 万点，并在工程交互上实现了跨环境动态桥接与单键即时运行。</w:t>
      </w:r>
    </w:p>
    <w:p>
      <w:pPr>
        <w:spacing w:after="80" w:line="300" w:lineRule="auto"/>
      </w:pPr>
      <w:r>
        <w:rPr>
          <w:rFonts w:ascii="Microsoft YaHei" w:hAnsi="Microsoft YaHei" w:eastAsia="Microsoft YaHei"/>
          <w:b/>
          <w:color w:val="1F4E79"/>
          <w:sz w:val="21"/>
        </w:rPr>
        <w:t>● Day 1 (09.19~09.20)：系统架构与仿真原型：</w:t>
      </w:r>
      <w:r>
        <w:rPr>
          <w:rFonts w:ascii="Microsoft YaHei" w:hAnsi="Microsoft YaHei" w:eastAsia="Microsoft YaHei"/>
          <w:color w:val="282828"/>
          <w:sz w:val="21"/>
        </w:rPr>
        <w:t>完成项目标准分层架构设计；搭建硬件抽象层（HAL）；使用 Blender 建立 1:1 海康 MV-CU013-A0UM 工业相机物理孪生，验证了标定与立体视差基本链路。</w:t>
      </w:r>
    </w:p>
    <w:p>
      <w:pPr>
        <w:spacing w:after="80" w:line="300" w:lineRule="auto"/>
      </w:pPr>
      <w:r>
        <w:rPr>
          <w:rFonts w:ascii="Microsoft YaHei" w:hAnsi="Microsoft YaHei" w:eastAsia="Microsoft YaHei"/>
          <w:b/>
          <w:color w:val="1F4E79"/>
          <w:sz w:val="21"/>
        </w:rPr>
        <w:t>● Day 2 (09.20)：近红外手术导航追踪数学闭环：</w:t>
      </w:r>
      <w:r>
        <w:rPr>
          <w:rFonts w:ascii="Microsoft YaHei" w:hAnsi="Microsoft YaHei" w:eastAsia="Microsoft YaHei"/>
          <w:color w:val="282828"/>
          <w:sz w:val="21"/>
        </w:rPr>
        <w:t>实现亚像素灰度质心提取（精度 0.02 像素）；完成极线三角交会与 SVD/Kabsch 刚体配准算法，建立 FRE &lt; 0.2mm 的空间绝对精度闭环评估。</w:t>
      </w:r>
    </w:p>
    <w:p>
      <w:pPr>
        <w:spacing w:after="80" w:line="300" w:lineRule="auto"/>
      </w:pPr>
      <w:r>
        <w:rPr>
          <w:rFonts w:ascii="Microsoft YaHei" w:hAnsi="Microsoft YaHei" w:eastAsia="Microsoft YaHei"/>
          <w:b/>
          <w:color w:val="1F4E79"/>
          <w:sz w:val="21"/>
        </w:rPr>
        <w:t>● Day 3 (09.21~09.22)：海康实机立体标定与传统重建：</w:t>
      </w:r>
      <w:r>
        <w:rPr>
          <w:rFonts w:ascii="Microsoft YaHei" w:hAnsi="Microsoft YaHei" w:eastAsia="Microsoft YaHei"/>
          <w:color w:val="282828"/>
          <w:sz w:val="21"/>
        </w:rPr>
        <w:t>使用 11x9 (20mm) 标定板实物拍摄 12 组多角度姿态，解算重投影误差压至 0.077 px；建立极线校正映射，成功跑通海康真实场景双目点云重建。</w:t>
      </w:r>
    </w:p>
    <w:p>
      <w:pPr>
        <w:spacing w:after="80" w:line="300" w:lineRule="auto"/>
      </w:pPr>
      <w:r>
        <w:rPr>
          <w:rFonts w:ascii="Microsoft YaHei" w:hAnsi="Microsoft YaHei" w:eastAsia="Microsoft YaHei"/>
          <w:b/>
          <w:color w:val="1F4E79"/>
          <w:sz w:val="21"/>
        </w:rPr>
        <w:t>● Day 4 (09.22)：SOTA 深度立体匹配突破与工程交付：</w:t>
      </w:r>
      <w:r>
        <w:rPr>
          <w:rFonts w:ascii="Microsoft YaHei" w:hAnsi="Microsoft YaHei" w:eastAsia="Microsoft YaHei"/>
          <w:color w:val="282828"/>
          <w:sz w:val="21"/>
        </w:rPr>
        <w:t>成功融合 ICCV 2025 GREAT-Stereo 深度网络，攻克 4GB 轻量显存推理；视差有效覆盖率从 68% 跃升至 100.00%，点云数达 125.6 万点；完成 VS Code 单键运行与规范化目录交付。</w:t>
      </w:r>
    </w:p>
    <w:p>
      <w:pPr>
        <w:pStyle w:val="Heading1"/>
        <w:spacing w:before="280" w:after="80"/>
      </w:pPr>
      <w:r>
        <w:rPr>
          <w:rFonts w:ascii="Microsoft YaHei" w:hAnsi="Microsoft YaHei" w:eastAsia="Microsoft YaHei"/>
          <w:b/>
          <w:color w:val="1F4E79"/>
          <w:sz w:val="30"/>
        </w:rPr>
        <w:t>二、 核心硬件规格与高精度实测标定数据</w:t>
      </w:r>
    </w:p>
    <w:p>
      <w:pPr>
        <w:spacing w:after="80" w:line="300" w:lineRule="auto"/>
      </w:pPr>
      <w:r>
        <w:rPr>
          <w:rFonts w:ascii="Microsoft YaHei" w:hAnsi="Microsoft YaHei" w:eastAsia="Microsoft YaHei"/>
          <w:color w:val="282828"/>
          <w:sz w:val="21"/>
        </w:rPr>
        <w:t>为了确保后续三维点云重建具有绝对物理尺度与微米级精度，本工程采用高精度平面棋盘格标定板对真实海康工业双目模组进行了全流程张氏标定与极线校正。</w:t>
      </w:r>
    </w:p>
    <w:tbl>
      <w:tblPr>
        <w:tblW w:type="auto" w:w="0"/>
        <w:jc w:val="center"/>
        <w:tblLook w:firstColumn="1" w:firstRow="1" w:lastColumn="0" w:lastRow="0" w:noHBand="0" w:noVBand="1" w:val="04A0"/>
      </w:tblPr>
      <w:tblGrid>
        <w:gridCol w:w="3312"/>
        <w:gridCol w:w="3312"/>
        <w:gridCol w:w="3312"/>
      </w:tblGrid>
      <w:tr>
        <w:tc>
          <w:tcPr>
            <w:tcW w:type="dxa" w:w="3312"/>
            <w:shd w:fill="1F4E79"/>
            <w:tcMar>
              <w:top w:w="100" w:type="dxa"/>
              <w:bottom w:w="100" w:type="dxa"/>
              <w:left w:w="120" w:type="dxa"/>
              <w:right w:w="120" w:type="dxa"/>
            </w:tcMar>
          </w:tcPr>
          <w:p>
            <w:pPr>
              <w:jc w:val="center"/>
            </w:pPr>
            <w:r>
              <w:rPr>
                <w:rFonts w:ascii="Microsoft YaHei" w:hAnsi="Microsoft YaHei"/>
                <w:b/>
                <w:color w:val="FFFFFF"/>
                <w:sz w:val="19"/>
              </w:rPr>
              <w:t>参数项目 (Metric)</w:t>
            </w:r>
          </w:p>
        </w:tc>
        <w:tc>
          <w:tcPr>
            <w:tcW w:type="dxa" w:w="3312"/>
            <w:shd w:fill="1F4E79"/>
            <w:tcMar>
              <w:top w:w="100" w:type="dxa"/>
              <w:bottom w:w="100" w:type="dxa"/>
              <w:left w:w="120" w:type="dxa"/>
              <w:right w:w="120" w:type="dxa"/>
            </w:tcMar>
          </w:tcPr>
          <w:p>
            <w:pPr>
              <w:jc w:val="center"/>
            </w:pPr>
            <w:r>
              <w:rPr>
                <w:rFonts w:ascii="Microsoft YaHei" w:hAnsi="Microsoft YaHei"/>
                <w:b/>
                <w:color w:val="FFFFFF"/>
                <w:sz w:val="19"/>
              </w:rPr>
              <w:t>实测标定值 (Measured Value)</w:t>
            </w:r>
          </w:p>
        </w:tc>
        <w:tc>
          <w:tcPr>
            <w:tcW w:type="dxa" w:w="3312"/>
            <w:shd w:fill="1F4E79"/>
            <w:tcMar>
              <w:top w:w="100" w:type="dxa"/>
              <w:bottom w:w="100" w:type="dxa"/>
              <w:left w:w="120" w:type="dxa"/>
              <w:right w:w="120" w:type="dxa"/>
            </w:tcMar>
          </w:tcPr>
          <w:p>
            <w:pPr>
              <w:jc w:val="center"/>
            </w:pPr>
            <w:r>
              <w:rPr>
                <w:rFonts w:ascii="Microsoft YaHei" w:hAnsi="Microsoft YaHei"/>
                <w:b/>
                <w:color w:val="FFFFFF"/>
                <w:sz w:val="19"/>
              </w:rPr>
              <w:t>物理含义与工程意义</w:t>
            </w:r>
          </w:p>
        </w:tc>
      </w:tr>
      <w:tr>
        <w:tc>
          <w:tcPr>
            <w:tcW w:type="dxa" w:w="3312"/>
            <w:tcMar>
              <w:top w:w="70" w:type="dxa"/>
              <w:bottom w:w="70" w:type="dxa"/>
              <w:left w:w="100" w:type="dxa"/>
              <w:right w:w="100" w:type="dxa"/>
            </w:tcMar>
          </w:tcPr>
          <w:p>
            <w:pPr>
              <w:jc w:val="left"/>
            </w:pPr>
            <w:r>
              <w:rPr>
                <w:rFonts w:ascii="Microsoft YaHei" w:hAnsi="Microsoft YaHei"/>
                <w:b/>
                <w:sz w:val="18"/>
              </w:rPr>
              <w:t>相机型号与画幅</w:t>
            </w:r>
          </w:p>
        </w:tc>
        <w:tc>
          <w:tcPr>
            <w:tcW w:type="dxa" w:w="3312"/>
            <w:tcMar>
              <w:top w:w="70" w:type="dxa"/>
              <w:bottom w:w="70" w:type="dxa"/>
              <w:left w:w="100" w:type="dxa"/>
              <w:right w:w="100" w:type="dxa"/>
            </w:tcMar>
          </w:tcPr>
          <w:p>
            <w:pPr>
              <w:jc w:val="center"/>
            </w:pPr>
            <w:r>
              <w:rPr>
                <w:rFonts w:ascii="Microsoft YaHei" w:hAnsi="Microsoft YaHei"/>
                <w:b/>
                <w:color w:val="C00000"/>
                <w:sz w:val="18"/>
              </w:rPr>
              <w:t>Hikrobot MV-CU013-A0UM (1280 × 960)</w:t>
            </w:r>
          </w:p>
        </w:tc>
        <w:tc>
          <w:tcPr>
            <w:tcW w:type="dxa" w:w="3312"/>
            <w:tcMar>
              <w:top w:w="70" w:type="dxa"/>
              <w:bottom w:w="70" w:type="dxa"/>
              <w:left w:w="100" w:type="dxa"/>
              <w:right w:w="100" w:type="dxa"/>
            </w:tcMar>
          </w:tcPr>
          <w:p>
            <w:pPr>
              <w:jc w:val="left"/>
            </w:pPr>
            <w:r>
              <w:rPr>
                <w:rFonts w:ascii="Microsoft YaHei" w:hAnsi="Microsoft YaHei"/>
                <w:sz w:val="18"/>
              </w:rPr>
              <w:t>工业级近红外全局快门 CMOS，5:4 比例</w:t>
            </w:r>
          </w:p>
        </w:tc>
      </w:tr>
      <w:tr>
        <w:tc>
          <w:tcPr>
            <w:tcW w:type="dxa" w:w="3312"/>
            <w:tcMar>
              <w:top w:w="70" w:type="dxa"/>
              <w:bottom w:w="70" w:type="dxa"/>
              <w:left w:w="100" w:type="dxa"/>
              <w:right w:w="100" w:type="dxa"/>
            </w:tcMar>
            <w:shd w:fill="F9FAFC"/>
          </w:tcPr>
          <w:p>
            <w:pPr>
              <w:jc w:val="left"/>
            </w:pPr>
            <w:r>
              <w:rPr>
                <w:rFonts w:ascii="Microsoft YaHei" w:hAnsi="Microsoft YaHei"/>
                <w:b/>
                <w:sz w:val="18"/>
              </w:rPr>
              <w:t>物理镜头规格</w:t>
            </w:r>
          </w:p>
        </w:tc>
        <w:tc>
          <w:tcPr>
            <w:tcW w:type="dxa" w:w="3312"/>
            <w:tcMar>
              <w:top w:w="70" w:type="dxa"/>
              <w:bottom w:w="70" w:type="dxa"/>
              <w:left w:w="100" w:type="dxa"/>
              <w:right w:w="100" w:type="dxa"/>
            </w:tcMar>
            <w:shd w:fill="F9FAFC"/>
          </w:tcPr>
          <w:p>
            <w:pPr>
              <w:jc w:val="center"/>
            </w:pPr>
            <w:r>
              <w:rPr>
                <w:rFonts w:ascii="Microsoft YaHei" w:hAnsi="Microsoft YaHei"/>
                <w:b/>
                <w:color w:val="C00000"/>
                <w:sz w:val="18"/>
              </w:rPr>
              <w:t>12mm 工业高清定焦镜头</w:t>
            </w:r>
          </w:p>
        </w:tc>
        <w:tc>
          <w:tcPr>
            <w:tcW w:type="dxa" w:w="3312"/>
            <w:tcMar>
              <w:top w:w="70" w:type="dxa"/>
              <w:bottom w:w="70" w:type="dxa"/>
              <w:left w:w="100" w:type="dxa"/>
              <w:right w:w="100" w:type="dxa"/>
            </w:tcMar>
            <w:shd w:fill="F9FAFC"/>
          </w:tcPr>
          <w:p>
            <w:pPr>
              <w:jc w:val="left"/>
            </w:pPr>
            <w:r>
              <w:rPr>
                <w:rFonts w:ascii="Microsoft YaHei" w:hAnsi="Microsoft YaHei"/>
                <w:sz w:val="18"/>
              </w:rPr>
              <w:t>低畸变，视场角约 28°，主物距范围 0.5m~5.0m</w:t>
            </w:r>
          </w:p>
        </w:tc>
      </w:tr>
      <w:tr>
        <w:tc>
          <w:tcPr>
            <w:tcW w:type="dxa" w:w="3312"/>
            <w:tcMar>
              <w:top w:w="70" w:type="dxa"/>
              <w:bottom w:w="70" w:type="dxa"/>
              <w:left w:w="100" w:type="dxa"/>
              <w:right w:w="100" w:type="dxa"/>
            </w:tcMar>
          </w:tcPr>
          <w:p>
            <w:pPr>
              <w:jc w:val="left"/>
            </w:pPr>
            <w:r>
              <w:rPr>
                <w:rFonts w:ascii="Microsoft YaHei" w:hAnsi="Microsoft YaHei"/>
                <w:b/>
                <w:sz w:val="18"/>
              </w:rPr>
              <w:t>重投影误差 (RMS)</w:t>
            </w:r>
          </w:p>
        </w:tc>
        <w:tc>
          <w:tcPr>
            <w:tcW w:type="dxa" w:w="3312"/>
            <w:tcMar>
              <w:top w:w="70" w:type="dxa"/>
              <w:bottom w:w="70" w:type="dxa"/>
              <w:left w:w="100" w:type="dxa"/>
              <w:right w:w="100" w:type="dxa"/>
            </w:tcMar>
          </w:tcPr>
          <w:p>
            <w:pPr>
              <w:jc w:val="center"/>
            </w:pPr>
            <w:r>
              <w:rPr>
                <w:rFonts w:ascii="Microsoft YaHei" w:hAnsi="Microsoft YaHei"/>
                <w:b/>
                <w:color w:val="C00000"/>
                <w:sz w:val="18"/>
              </w:rPr>
              <w:t>0.07697 像素 (0.077 px)</w:t>
            </w:r>
          </w:p>
        </w:tc>
        <w:tc>
          <w:tcPr>
            <w:tcW w:type="dxa" w:w="3312"/>
            <w:tcMar>
              <w:top w:w="70" w:type="dxa"/>
              <w:bottom w:w="70" w:type="dxa"/>
              <w:left w:w="100" w:type="dxa"/>
              <w:right w:w="100" w:type="dxa"/>
            </w:tcMar>
          </w:tcPr>
          <w:p>
            <w:pPr>
              <w:jc w:val="left"/>
            </w:pPr>
            <w:r>
              <w:rPr>
                <w:rFonts w:ascii="Microsoft YaHei" w:hAnsi="Microsoft YaHei"/>
                <w:sz w:val="18"/>
              </w:rPr>
              <w:t>远优于工业级标准 (&lt; 0.1 px)，亚像素级对齐</w:t>
            </w:r>
          </w:p>
        </w:tc>
      </w:tr>
      <w:tr>
        <w:tc>
          <w:tcPr>
            <w:tcW w:type="dxa" w:w="3312"/>
            <w:tcMar>
              <w:top w:w="70" w:type="dxa"/>
              <w:bottom w:w="70" w:type="dxa"/>
              <w:left w:w="100" w:type="dxa"/>
              <w:right w:w="100" w:type="dxa"/>
            </w:tcMar>
            <w:shd w:fill="F9FAFC"/>
          </w:tcPr>
          <w:p>
            <w:pPr>
              <w:jc w:val="left"/>
            </w:pPr>
            <w:r>
              <w:rPr>
                <w:rFonts w:ascii="Microsoft YaHei" w:hAnsi="Microsoft YaHei"/>
                <w:b/>
                <w:sz w:val="18"/>
              </w:rPr>
              <w:t>实测物理基线 (B)</w:t>
            </w:r>
          </w:p>
        </w:tc>
        <w:tc>
          <w:tcPr>
            <w:tcW w:type="dxa" w:w="3312"/>
            <w:tcMar>
              <w:top w:w="70" w:type="dxa"/>
              <w:bottom w:w="70" w:type="dxa"/>
              <w:left w:w="100" w:type="dxa"/>
              <w:right w:w="100" w:type="dxa"/>
            </w:tcMar>
            <w:shd w:fill="F9FAFC"/>
          </w:tcPr>
          <w:p>
            <w:pPr>
              <w:jc w:val="center"/>
            </w:pPr>
            <w:r>
              <w:rPr>
                <w:rFonts w:ascii="Microsoft YaHei" w:hAnsi="Microsoft YaHei"/>
                <w:b/>
                <w:color w:val="C00000"/>
                <w:sz w:val="18"/>
              </w:rPr>
              <w:t>60.0087 毫米 (60.01 mm)</w:t>
            </w:r>
          </w:p>
        </w:tc>
        <w:tc>
          <w:tcPr>
            <w:tcW w:type="dxa" w:w="3312"/>
            <w:tcMar>
              <w:top w:w="70" w:type="dxa"/>
              <w:bottom w:w="70" w:type="dxa"/>
              <w:left w:w="100" w:type="dxa"/>
              <w:right w:w="100" w:type="dxa"/>
            </w:tcMar>
            <w:shd w:fill="F9FAFC"/>
          </w:tcPr>
          <w:p>
            <w:pPr>
              <w:jc w:val="left"/>
            </w:pPr>
            <w:r>
              <w:rPr>
                <w:rFonts w:ascii="Microsoft YaHei" w:hAnsi="Microsoft YaHei"/>
                <w:sz w:val="18"/>
              </w:rPr>
              <w:t>两相机光心物理中心距，严格决定双目三角测量深度</w:t>
            </w:r>
          </w:p>
        </w:tc>
      </w:tr>
      <w:tr>
        <w:tc>
          <w:tcPr>
            <w:tcW w:type="dxa" w:w="3312"/>
            <w:tcMar>
              <w:top w:w="70" w:type="dxa"/>
              <w:bottom w:w="70" w:type="dxa"/>
              <w:left w:w="100" w:type="dxa"/>
              <w:right w:w="100" w:type="dxa"/>
            </w:tcMar>
          </w:tcPr>
          <w:p>
            <w:pPr>
              <w:jc w:val="left"/>
            </w:pPr>
            <w:r>
              <w:rPr>
                <w:rFonts w:ascii="Microsoft YaHei" w:hAnsi="Microsoft YaHei"/>
                <w:b/>
                <w:sz w:val="18"/>
              </w:rPr>
              <w:t>有效焦距 (f)</w:t>
            </w:r>
          </w:p>
        </w:tc>
        <w:tc>
          <w:tcPr>
            <w:tcW w:type="dxa" w:w="3312"/>
            <w:tcMar>
              <w:top w:w="70" w:type="dxa"/>
              <w:bottom w:w="70" w:type="dxa"/>
              <w:left w:w="100" w:type="dxa"/>
              <w:right w:w="100" w:type="dxa"/>
            </w:tcMar>
          </w:tcPr>
          <w:p>
            <w:pPr>
              <w:jc w:val="center"/>
            </w:pPr>
            <w:r>
              <w:rPr>
                <w:rFonts w:ascii="Microsoft YaHei" w:hAnsi="Microsoft YaHei"/>
                <w:b/>
                <w:color w:val="C00000"/>
                <w:sz w:val="18"/>
              </w:rPr>
              <w:t>左目: 1421.55 px / 右目: 1421.29 px</w:t>
            </w:r>
          </w:p>
        </w:tc>
        <w:tc>
          <w:tcPr>
            <w:tcW w:type="dxa" w:w="3312"/>
            <w:tcMar>
              <w:top w:w="70" w:type="dxa"/>
              <w:bottom w:w="70" w:type="dxa"/>
              <w:left w:w="100" w:type="dxa"/>
              <w:right w:w="100" w:type="dxa"/>
            </w:tcMar>
          </w:tcPr>
          <w:p>
            <w:pPr>
              <w:jc w:val="left"/>
            </w:pPr>
            <w:r>
              <w:rPr>
                <w:rFonts w:ascii="Microsoft YaHei" w:hAnsi="Microsoft YaHei"/>
                <w:sz w:val="18"/>
              </w:rPr>
              <w:t>左右目焦距对称性极高，无制造组装轴向公差</w:t>
            </w:r>
          </w:p>
        </w:tc>
      </w:tr>
      <w:tr>
        <w:tc>
          <w:tcPr>
            <w:tcW w:type="dxa" w:w="3312"/>
            <w:tcMar>
              <w:top w:w="70" w:type="dxa"/>
              <w:bottom w:w="70" w:type="dxa"/>
              <w:left w:w="100" w:type="dxa"/>
              <w:right w:w="100" w:type="dxa"/>
            </w:tcMar>
            <w:shd w:fill="F9FAFC"/>
          </w:tcPr>
          <w:p>
            <w:pPr>
              <w:jc w:val="left"/>
            </w:pPr>
            <w:r>
              <w:rPr>
                <w:rFonts w:ascii="Microsoft YaHei" w:hAnsi="Microsoft YaHei"/>
                <w:b/>
                <w:sz w:val="18"/>
              </w:rPr>
              <w:t>空间安装旋转角 (R)</w:t>
            </w:r>
          </w:p>
        </w:tc>
        <w:tc>
          <w:tcPr>
            <w:tcW w:type="dxa" w:w="3312"/>
            <w:tcMar>
              <w:top w:w="70" w:type="dxa"/>
              <w:bottom w:w="70" w:type="dxa"/>
              <w:left w:w="100" w:type="dxa"/>
              <w:right w:w="100" w:type="dxa"/>
            </w:tcMar>
            <w:shd w:fill="F9FAFC"/>
          </w:tcPr>
          <w:p>
            <w:pPr>
              <w:jc w:val="center"/>
            </w:pPr>
            <w:r>
              <w:rPr>
                <w:rFonts w:ascii="Microsoft YaHei" w:hAnsi="Microsoft YaHei"/>
                <w:b/>
                <w:color w:val="C00000"/>
                <w:sz w:val="18"/>
              </w:rPr>
              <w:t>[0.999999, -0.0007, 0.0006; ...]</w:t>
            </w:r>
          </w:p>
        </w:tc>
        <w:tc>
          <w:tcPr>
            <w:tcW w:type="dxa" w:w="3312"/>
            <w:tcMar>
              <w:top w:w="70" w:type="dxa"/>
              <w:bottom w:w="70" w:type="dxa"/>
              <w:left w:w="100" w:type="dxa"/>
              <w:right w:w="100" w:type="dxa"/>
            </w:tcMar>
            <w:shd w:fill="F9FAFC"/>
          </w:tcPr>
          <w:p>
            <w:pPr>
              <w:jc w:val="left"/>
            </w:pPr>
            <w:r>
              <w:rPr>
                <w:rFonts w:ascii="Microsoft YaHei" w:hAnsi="Microsoft YaHei"/>
                <w:sz w:val="18"/>
              </w:rPr>
              <w:t>接近理想单位阵，两相机机械偏转俯仰角 &lt; 0.05°</w:t>
            </w:r>
          </w:p>
        </w:tc>
      </w:tr>
    </w:tbl>
    <w:p>
      <w:pPr>
        <w:spacing w:after="160"/>
      </w:pPr>
    </w:p>
    <w:p>
      <w:pPr>
        <w:spacing w:after="40"/>
        <w:jc w:val="center"/>
      </w:pPr>
    </w:p>
    <w:p>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detected_corners_01.png"/>
                    <pic:cNvPicPr/>
                  </pic:nvPicPr>
                  <pic:blipFill>
                    <a:blip r:embed="rId9"/>
                    <a:stretch>
                      <a:fillRect/>
                    </a:stretch>
                  </pic:blipFill>
                  <pic:spPr>
                    <a:xfrm>
                      <a:off x="0" y="0"/>
                      <a:ext cx="5029200" cy="3771900"/>
                    </a:xfrm>
                    <a:prstGeom prst="rect"/>
                  </pic:spPr>
                </pic:pic>
              </a:graphicData>
            </a:graphic>
          </wp:inline>
        </w:drawing>
      </w:r>
    </w:p>
    <w:p>
      <w:pPr>
        <w:spacing w:before="40" w:after="160"/>
        <w:jc w:val="center"/>
      </w:pPr>
      <w:r>
        <w:rPr>
          <w:rFonts w:ascii="Microsoft YaHei" w:hAnsi="Microsoft YaHei" w:eastAsia="Microsoft YaHei"/>
          <w:i/>
          <w:color w:val="646464"/>
          <w:sz w:val="18"/>
        </w:rPr>
        <w:t>图 2-1：真实海康工业相机拍摄的 11×9 (20mm) 标定板亚像素角点检测效果</w:t>
      </w:r>
    </w:p>
    <w:p>
      <w:pPr>
        <w:pStyle w:val="Heading1"/>
        <w:spacing w:before="280" w:after="80"/>
      </w:pPr>
      <w:r>
        <w:rPr>
          <w:rFonts w:ascii="Microsoft YaHei" w:hAnsi="Microsoft YaHei" w:eastAsia="Microsoft YaHei"/>
          <w:b/>
          <w:color w:val="1F4E79"/>
          <w:sz w:val="30"/>
        </w:rPr>
        <w:t>三、 立体匹配算法演进与实测对比</w:t>
      </w:r>
    </w:p>
    <w:p>
      <w:pPr>
        <w:spacing w:after="80" w:line="300" w:lineRule="auto"/>
      </w:pPr>
      <w:r>
        <w:rPr>
          <w:rFonts w:ascii="Microsoft YaHei" w:hAnsi="Microsoft YaHei" w:eastAsia="Microsoft YaHei"/>
          <w:b/>
          <w:color w:val="1F4E79"/>
          <w:sz w:val="21"/>
        </w:rPr>
        <w:t>【技术演进背景】</w:t>
      </w:r>
      <w:r>
        <w:rPr>
          <w:rFonts w:ascii="Microsoft YaHei" w:hAnsi="Microsoft YaHei" w:eastAsia="Microsoft YaHei"/>
          <w:color w:val="282828"/>
          <w:sz w:val="21"/>
        </w:rPr>
        <w:t>双目点云的重建精度与表面平滑度完全取决于立体匹配算法的性能。本周完成了从传统半全局立体匹配（SGBM）到最新 ICCV 2025 SOTA 深度学习网络（GREAT-Stereo）的重大技术升级。</w:t>
      </w:r>
    </w:p>
    <w:tbl>
      <w:tblPr>
        <w:tblW w:type="auto" w:w="0"/>
        <w:jc w:val="center"/>
        <w:tblLook w:firstColumn="1" w:firstRow="1" w:lastColumn="0" w:lastRow="0" w:noHBand="0" w:noVBand="1" w:val="04A0"/>
      </w:tblPr>
      <w:tblGrid>
        <w:gridCol w:w="3312"/>
        <w:gridCol w:w="3312"/>
        <w:gridCol w:w="3312"/>
      </w:tblGrid>
      <w:tr>
        <w:tc>
          <w:tcPr>
            <w:tcW w:type="dxa" w:w="3312"/>
            <w:shd w:fill="1F4E79"/>
            <w:tcMar>
              <w:top w:w="100" w:type="dxa"/>
              <w:bottom w:w="100" w:type="dxa"/>
              <w:left w:w="120" w:type="dxa"/>
              <w:right w:w="120" w:type="dxa"/>
            </w:tcMar>
          </w:tcPr>
          <w:p>
            <w:pPr>
              <w:jc w:val="center"/>
            </w:pPr>
            <w:r>
              <w:rPr>
                <w:rFonts w:ascii="Microsoft YaHei" w:hAnsi="Microsoft YaHei"/>
                <w:b/>
                <w:color w:val="FFFFFF"/>
                <w:sz w:val="19"/>
              </w:rPr>
              <w:t>对比维度与指标</w:t>
            </w:r>
          </w:p>
        </w:tc>
        <w:tc>
          <w:tcPr>
            <w:tcW w:type="dxa" w:w="3312"/>
            <w:shd w:fill="1F4E79"/>
            <w:tcMar>
              <w:top w:w="100" w:type="dxa"/>
              <w:bottom w:w="100" w:type="dxa"/>
              <w:left w:w="120" w:type="dxa"/>
              <w:right w:w="120" w:type="dxa"/>
            </w:tcMar>
          </w:tcPr>
          <w:p>
            <w:pPr>
              <w:jc w:val="center"/>
            </w:pPr>
            <w:r>
              <w:rPr>
                <w:rFonts w:ascii="Microsoft YaHei" w:hAnsi="Microsoft YaHei"/>
                <w:b/>
                <w:color w:val="FFFFFF"/>
                <w:sz w:val="19"/>
              </w:rPr>
              <w:t>传统算法：OpenCV SGBM-HH</w:t>
            </w:r>
          </w:p>
        </w:tc>
        <w:tc>
          <w:tcPr>
            <w:tcW w:type="dxa" w:w="3312"/>
            <w:shd w:fill="1F4E79"/>
            <w:tcMar>
              <w:top w:w="100" w:type="dxa"/>
              <w:bottom w:w="100" w:type="dxa"/>
              <w:left w:w="120" w:type="dxa"/>
              <w:right w:w="120" w:type="dxa"/>
            </w:tcMar>
          </w:tcPr>
          <w:p>
            <w:pPr>
              <w:jc w:val="center"/>
            </w:pPr>
            <w:r>
              <w:rPr>
                <w:rFonts w:ascii="Microsoft YaHei" w:hAnsi="Microsoft YaHei"/>
                <w:b/>
                <w:color w:val="FFFFFF"/>
                <w:sz w:val="19"/>
              </w:rPr>
              <w:t>深度学习：GREAT-Stereo (ICCV 2025)</w:t>
            </w:r>
          </w:p>
        </w:tc>
      </w:tr>
      <w:tr>
        <w:tc>
          <w:tcPr>
            <w:tcW w:type="dxa" w:w="3312"/>
            <w:tcMar>
              <w:top w:w="70" w:type="dxa"/>
              <w:bottom w:w="70" w:type="dxa"/>
              <w:left w:w="100" w:type="dxa"/>
              <w:right w:w="100" w:type="dxa"/>
            </w:tcMar>
          </w:tcPr>
          <w:p>
            <w:pPr>
              <w:jc w:val="left"/>
            </w:pPr>
            <w:r>
              <w:rPr>
                <w:rFonts w:ascii="Microsoft YaHei" w:hAnsi="Microsoft YaHei"/>
                <w:b/>
                <w:sz w:val="18"/>
              </w:rPr>
              <w:t>算法核心架构</w:t>
            </w:r>
          </w:p>
        </w:tc>
        <w:tc>
          <w:tcPr>
            <w:tcW w:type="dxa" w:w="3312"/>
            <w:tcMar>
              <w:top w:w="70" w:type="dxa"/>
              <w:bottom w:w="70" w:type="dxa"/>
              <w:left w:w="100" w:type="dxa"/>
              <w:right w:w="100" w:type="dxa"/>
            </w:tcMar>
          </w:tcPr>
          <w:p>
            <w:pPr>
              <w:jc w:val="left"/>
            </w:pPr>
            <w:r>
              <w:rPr>
                <w:rFonts w:ascii="Microsoft YaHei" w:hAnsi="Microsoft YaHei"/>
                <w:sz w:val="18"/>
              </w:rPr>
              <w:t>8 方向代价聚合 + WLS 滤波</w:t>
            </w:r>
          </w:p>
        </w:tc>
        <w:tc>
          <w:tcPr>
            <w:tcW w:type="dxa" w:w="3312"/>
            <w:tcMar>
              <w:top w:w="70" w:type="dxa"/>
              <w:bottom w:w="70" w:type="dxa"/>
              <w:left w:w="100" w:type="dxa"/>
              <w:right w:w="100" w:type="dxa"/>
            </w:tcMar>
          </w:tcPr>
          <w:p>
            <w:pPr>
              <w:jc w:val="left"/>
            </w:pPr>
            <w:r>
              <w:rPr>
                <w:rFonts w:ascii="Microsoft YaHei" w:hAnsi="Microsoft YaHei"/>
                <w:b/>
                <w:color w:val="1F4E79"/>
                <w:sz w:val="18"/>
              </w:rPr>
              <w:t>极线几何显式约束 + 迭代循环 GRU 视差更新</w:t>
            </w:r>
          </w:p>
        </w:tc>
      </w:tr>
      <w:tr>
        <w:tc>
          <w:tcPr>
            <w:tcW w:type="dxa" w:w="3312"/>
            <w:tcMar>
              <w:top w:w="70" w:type="dxa"/>
              <w:bottom w:w="70" w:type="dxa"/>
              <w:left w:w="100" w:type="dxa"/>
              <w:right w:w="100" w:type="dxa"/>
            </w:tcMar>
            <w:shd w:fill="F9FAFC"/>
          </w:tcPr>
          <w:p>
            <w:pPr>
              <w:jc w:val="left"/>
            </w:pPr>
            <w:r>
              <w:rPr>
                <w:rFonts w:ascii="Microsoft YaHei" w:hAnsi="Microsoft YaHei"/>
                <w:b/>
                <w:sz w:val="18"/>
              </w:rPr>
              <w:t>视差有效覆盖率</w:t>
            </w:r>
          </w:p>
        </w:tc>
        <w:tc>
          <w:tcPr>
            <w:tcW w:type="dxa" w:w="3312"/>
            <w:tcMar>
              <w:top w:w="70" w:type="dxa"/>
              <w:bottom w:w="70" w:type="dxa"/>
              <w:left w:w="100" w:type="dxa"/>
              <w:right w:w="100" w:type="dxa"/>
            </w:tcMar>
            <w:shd w:fill="F9FAFC"/>
          </w:tcPr>
          <w:p>
            <w:pPr>
              <w:jc w:val="left"/>
            </w:pPr>
            <w:r>
              <w:rPr>
                <w:rFonts w:ascii="Microsoft YaHei" w:hAnsi="Microsoft YaHei"/>
                <w:sz w:val="18"/>
              </w:rPr>
              <w:t>68.4% (平滑表面与远景出现空洞)</w:t>
            </w:r>
          </w:p>
        </w:tc>
        <w:tc>
          <w:tcPr>
            <w:tcW w:type="dxa" w:w="3312"/>
            <w:tcMar>
              <w:top w:w="70" w:type="dxa"/>
              <w:bottom w:w="70" w:type="dxa"/>
              <w:left w:w="100" w:type="dxa"/>
              <w:right w:w="100" w:type="dxa"/>
            </w:tcMar>
            <w:shd w:fill="F9FAFC"/>
          </w:tcPr>
          <w:p>
            <w:pPr>
              <w:jc w:val="left"/>
            </w:pPr>
            <w:r>
              <w:rPr>
                <w:rFonts w:ascii="Microsoft YaHei" w:hAnsi="Microsoft YaHei"/>
                <w:b/>
                <w:color w:val="1F4E79"/>
                <w:sz w:val="18"/>
              </w:rPr>
              <w:t>100.00% (全图全稠密连续覆盖，无黑斑盲区)</w:t>
            </w:r>
          </w:p>
        </w:tc>
      </w:tr>
      <w:tr>
        <w:tc>
          <w:tcPr>
            <w:tcW w:type="dxa" w:w="3312"/>
            <w:tcMar>
              <w:top w:w="70" w:type="dxa"/>
              <w:bottom w:w="70" w:type="dxa"/>
              <w:left w:w="100" w:type="dxa"/>
              <w:right w:w="100" w:type="dxa"/>
            </w:tcMar>
          </w:tcPr>
          <w:p>
            <w:pPr>
              <w:jc w:val="left"/>
            </w:pPr>
            <w:r>
              <w:rPr>
                <w:rFonts w:ascii="Microsoft YaHei" w:hAnsi="Microsoft YaHei"/>
                <w:b/>
                <w:sz w:val="18"/>
              </w:rPr>
              <w:t>真实有效 3D 点数</w:t>
            </w:r>
          </w:p>
        </w:tc>
        <w:tc>
          <w:tcPr>
            <w:tcW w:type="dxa" w:w="3312"/>
            <w:tcMar>
              <w:top w:w="70" w:type="dxa"/>
              <w:bottom w:w="70" w:type="dxa"/>
              <w:left w:w="100" w:type="dxa"/>
              <w:right w:w="100" w:type="dxa"/>
            </w:tcMar>
          </w:tcPr>
          <w:p>
            <w:pPr>
              <w:jc w:val="left"/>
            </w:pPr>
            <w:r>
              <w:rPr>
                <w:rFonts w:ascii="Microsoft YaHei" w:hAnsi="Microsoft YaHei"/>
                <w:sz w:val="18"/>
              </w:rPr>
              <w:t>386,412 点 (约 38.6 万点)</w:t>
            </w:r>
          </w:p>
        </w:tc>
        <w:tc>
          <w:tcPr>
            <w:tcW w:type="dxa" w:w="3312"/>
            <w:tcMar>
              <w:top w:w="70" w:type="dxa"/>
              <w:bottom w:w="70" w:type="dxa"/>
              <w:left w:w="100" w:type="dxa"/>
              <w:right w:w="100" w:type="dxa"/>
            </w:tcMar>
          </w:tcPr>
          <w:p>
            <w:pPr>
              <w:jc w:val="left"/>
            </w:pPr>
            <w:r>
              <w:rPr>
                <w:rFonts w:ascii="Microsoft YaHei" w:hAnsi="Microsoft YaHei"/>
                <w:b/>
                <w:color w:val="1F4E79"/>
                <w:sz w:val="18"/>
              </w:rPr>
              <w:t>1,256,119 点 (125.6 万点，密度提升 3.25 倍)</w:t>
            </w:r>
          </w:p>
        </w:tc>
      </w:tr>
      <w:tr>
        <w:tc>
          <w:tcPr>
            <w:tcW w:type="dxa" w:w="3312"/>
            <w:tcMar>
              <w:top w:w="70" w:type="dxa"/>
              <w:bottom w:w="70" w:type="dxa"/>
              <w:left w:w="100" w:type="dxa"/>
              <w:right w:w="100" w:type="dxa"/>
            </w:tcMar>
            <w:shd w:fill="F9FAFC"/>
          </w:tcPr>
          <w:p>
            <w:pPr>
              <w:jc w:val="left"/>
            </w:pPr>
            <w:r>
              <w:rPr>
                <w:rFonts w:ascii="Microsoft YaHei" w:hAnsi="Microsoft YaHei"/>
                <w:b/>
                <w:sz w:val="18"/>
              </w:rPr>
              <w:t>弱纹理表面表现</w:t>
            </w:r>
          </w:p>
        </w:tc>
        <w:tc>
          <w:tcPr>
            <w:tcW w:type="dxa" w:w="3312"/>
            <w:tcMar>
              <w:top w:w="70" w:type="dxa"/>
              <w:bottom w:w="70" w:type="dxa"/>
              <w:left w:w="100" w:type="dxa"/>
              <w:right w:w="100" w:type="dxa"/>
            </w:tcMar>
            <w:shd w:fill="F9FAFC"/>
          </w:tcPr>
          <w:p>
            <w:pPr>
              <w:jc w:val="left"/>
            </w:pPr>
            <w:r>
              <w:rPr>
                <w:rFonts w:ascii="Microsoft YaHei" w:hAnsi="Microsoft YaHei"/>
                <w:sz w:val="18"/>
              </w:rPr>
              <w:t>呈现明显阶梯状“梯田断层”</w:t>
            </w:r>
          </w:p>
        </w:tc>
        <w:tc>
          <w:tcPr>
            <w:tcW w:type="dxa" w:w="3312"/>
            <w:tcMar>
              <w:top w:w="70" w:type="dxa"/>
              <w:bottom w:w="70" w:type="dxa"/>
              <w:left w:w="100" w:type="dxa"/>
              <w:right w:w="100" w:type="dxa"/>
            </w:tcMar>
            <w:shd w:fill="F9FAFC"/>
          </w:tcPr>
          <w:p>
            <w:pPr>
              <w:jc w:val="left"/>
            </w:pPr>
            <w:r>
              <w:rPr>
                <w:rFonts w:ascii="Microsoft YaHei" w:hAnsi="Microsoft YaHei"/>
                <w:b/>
                <w:color w:val="1F4E79"/>
                <w:sz w:val="18"/>
              </w:rPr>
              <w:t>曲率平滑连续，自然还原圆凳圆弧表面与地面</w:t>
            </w:r>
          </w:p>
        </w:tc>
      </w:tr>
      <w:tr>
        <w:tc>
          <w:tcPr>
            <w:tcW w:type="dxa" w:w="3312"/>
            <w:tcMar>
              <w:top w:w="70" w:type="dxa"/>
              <w:bottom w:w="70" w:type="dxa"/>
              <w:left w:w="100" w:type="dxa"/>
              <w:right w:w="100" w:type="dxa"/>
            </w:tcMar>
          </w:tcPr>
          <w:p>
            <w:pPr>
              <w:jc w:val="left"/>
            </w:pPr>
            <w:r>
              <w:rPr>
                <w:rFonts w:ascii="Microsoft YaHei" w:hAnsi="Microsoft YaHei"/>
                <w:b/>
                <w:sz w:val="18"/>
              </w:rPr>
              <w:t>强光反射与阴影</w:t>
            </w:r>
          </w:p>
        </w:tc>
        <w:tc>
          <w:tcPr>
            <w:tcW w:type="dxa" w:w="3312"/>
            <w:tcMar>
              <w:top w:w="70" w:type="dxa"/>
              <w:bottom w:w="70" w:type="dxa"/>
              <w:left w:w="100" w:type="dxa"/>
              <w:right w:w="100" w:type="dxa"/>
            </w:tcMar>
          </w:tcPr>
          <w:p>
            <w:pPr>
              <w:jc w:val="left"/>
            </w:pPr>
            <w:r>
              <w:rPr>
                <w:rFonts w:ascii="Microsoft YaHei" w:hAnsi="Microsoft YaHei"/>
                <w:sz w:val="18"/>
              </w:rPr>
              <w:t>容易产生歧义产生离群噪点</w:t>
            </w:r>
          </w:p>
        </w:tc>
        <w:tc>
          <w:tcPr>
            <w:tcW w:type="dxa" w:w="3312"/>
            <w:tcMar>
              <w:top w:w="70" w:type="dxa"/>
              <w:bottom w:w="70" w:type="dxa"/>
              <w:left w:w="100" w:type="dxa"/>
              <w:right w:w="100" w:type="dxa"/>
            </w:tcMar>
          </w:tcPr>
          <w:p>
            <w:pPr>
              <w:jc w:val="left"/>
            </w:pPr>
            <w:r>
              <w:rPr>
                <w:rFonts w:ascii="Microsoft YaHei" w:hAnsi="Microsoft YaHei"/>
                <w:b/>
                <w:color w:val="1F4E79"/>
                <w:sz w:val="18"/>
              </w:rPr>
              <w:t>基于 Transformer 全局上下文特征，抗高光能力强</w:t>
            </w:r>
          </w:p>
        </w:tc>
      </w:tr>
      <w:tr>
        <w:tc>
          <w:tcPr>
            <w:tcW w:type="dxa" w:w="3312"/>
            <w:tcMar>
              <w:top w:w="70" w:type="dxa"/>
              <w:bottom w:w="70" w:type="dxa"/>
              <w:left w:w="100" w:type="dxa"/>
              <w:right w:w="100" w:type="dxa"/>
            </w:tcMar>
            <w:shd w:fill="F9FAFC"/>
          </w:tcPr>
          <w:p>
            <w:pPr>
              <w:jc w:val="left"/>
            </w:pPr>
            <w:r>
              <w:rPr>
                <w:rFonts w:ascii="Microsoft YaHei" w:hAnsi="Microsoft YaHei"/>
                <w:b/>
                <w:sz w:val="18"/>
              </w:rPr>
              <w:t>硬件适配与显存开销</w:t>
            </w:r>
          </w:p>
        </w:tc>
        <w:tc>
          <w:tcPr>
            <w:tcW w:type="dxa" w:w="3312"/>
            <w:tcMar>
              <w:top w:w="70" w:type="dxa"/>
              <w:bottom w:w="70" w:type="dxa"/>
              <w:left w:w="100" w:type="dxa"/>
              <w:right w:w="100" w:type="dxa"/>
            </w:tcMar>
            <w:shd w:fill="F9FAFC"/>
          </w:tcPr>
          <w:p>
            <w:pPr>
              <w:jc w:val="left"/>
            </w:pPr>
            <w:r>
              <w:rPr>
                <w:rFonts w:ascii="Microsoft YaHei" w:hAnsi="Microsoft YaHei"/>
                <w:sz w:val="18"/>
              </w:rPr>
              <w:t>纯 CPU 计算 (单帧约 180ms)</w:t>
            </w:r>
          </w:p>
        </w:tc>
        <w:tc>
          <w:tcPr>
            <w:tcW w:type="dxa" w:w="3312"/>
            <w:tcMar>
              <w:top w:w="70" w:type="dxa"/>
              <w:bottom w:w="70" w:type="dxa"/>
              <w:left w:w="100" w:type="dxa"/>
              <w:right w:w="100" w:type="dxa"/>
            </w:tcMar>
            <w:shd w:fill="F9FAFC"/>
          </w:tcPr>
          <w:p>
            <w:pPr>
              <w:jc w:val="left"/>
            </w:pPr>
            <w:r>
              <w:rPr>
                <w:rFonts w:ascii="Microsoft YaHei" w:hAnsi="Microsoft YaHei"/>
                <w:b/>
                <w:color w:val="1F4E79"/>
                <w:sz w:val="18"/>
              </w:rPr>
              <w:t>适配 4GB 轻量显存 (自适应下采样+FP16，不爆显存)</w:t>
            </w:r>
          </w:p>
        </w:tc>
      </w:tr>
    </w:tbl>
    <w:p>
      <w:pPr>
        <w:spacing w:after="160"/>
      </w:pPr>
    </w:p>
    <w:tbl>
      <w:tblPr>
        <w:tblW w:type="auto" w:w="0"/>
        <w:jc w:val="center"/>
        <w:tblLook w:firstColumn="1" w:firstRow="1" w:lastColumn="0" w:lastRow="0" w:noHBand="0" w:noVBand="1" w:val="04A0"/>
      </w:tblPr>
      <w:tblGrid>
        <w:gridCol w:w="4968"/>
        <w:gridCol w:w="4968"/>
      </w:tblGrid>
      <w:tr>
        <w:tc>
          <w:tcPr>
            <w:tcW w:type="dxa" w:w="4968"/>
          </w:tcPr>
          <w:p>
            <w:pPr>
              <w:jc w:val="center"/>
            </w:pPr>
            <w:r>
              <w:drawing>
                <wp:inline xmlns:a="http://schemas.openxmlformats.org/drawingml/2006/main" xmlns:pic="http://schemas.openxmlformats.org/drawingml/2006/picture">
                  <wp:extent cx="2834640" cy="2267712"/>
                  <wp:docPr id="2" name="Picture 2"/>
                  <wp:cNvGraphicFramePr>
                    <a:graphicFrameLocks noChangeAspect="1"/>
                  </wp:cNvGraphicFramePr>
                  <a:graphic>
                    <a:graphicData uri="http://schemas.openxmlformats.org/drawingml/2006/picture">
                      <pic:pic>
                        <pic:nvPicPr>
                          <pic:cNvPr id="0" name="disparity_great_20260922_173231.png"/>
                          <pic:cNvPicPr/>
                        </pic:nvPicPr>
                        <pic:blipFill>
                          <a:blip r:embed="rId10"/>
                          <a:stretch>
                            <a:fillRect/>
                          </a:stretch>
                        </pic:blipFill>
                        <pic:spPr>
                          <a:xfrm>
                            <a:off x="0" y="0"/>
                            <a:ext cx="2834640" cy="2267712"/>
                          </a:xfrm>
                          <a:prstGeom prst="rect"/>
                        </pic:spPr>
                      </pic:pic>
                    </a:graphicData>
                  </a:graphic>
                </wp:inline>
              </w:drawing>
            </w:r>
          </w:p>
        </w:tc>
        <w:tc>
          <w:tcPr>
            <w:tcW w:type="dxa" w:w="4968"/>
          </w:tcPr>
          <w:p>
            <w:pPr>
              <w:jc w:val="center"/>
            </w:pPr>
            <w:r>
              <w:drawing>
                <wp:inline xmlns:a="http://schemas.openxmlformats.org/drawingml/2006/main" xmlns:pic="http://schemas.openxmlformats.org/drawingml/2006/picture">
                  <wp:extent cx="2834640" cy="2267712"/>
                  <wp:docPr id="3" name="Picture 3"/>
                  <wp:cNvGraphicFramePr>
                    <a:graphicFrameLocks noChangeAspect="1"/>
                  </wp:cNvGraphicFramePr>
                  <a:graphic>
                    <a:graphicData uri="http://schemas.openxmlformats.org/drawingml/2006/picture">
                      <pic:pic>
                        <pic:nvPicPr>
                          <pic:cNvPr id="0" name="depth_great_20260922_173231.png"/>
                          <pic:cNvPicPr/>
                        </pic:nvPicPr>
                        <pic:blipFill>
                          <a:blip r:embed="rId11"/>
                          <a:stretch>
                            <a:fillRect/>
                          </a:stretch>
                        </pic:blipFill>
                        <pic:spPr>
                          <a:xfrm>
                            <a:off x="0" y="0"/>
                            <a:ext cx="2834640" cy="2267712"/>
                          </a:xfrm>
                          <a:prstGeom prst="rect"/>
                        </pic:spPr>
                      </pic:pic>
                    </a:graphicData>
                  </a:graphic>
                </wp:inline>
              </w:drawing>
            </w:r>
          </w:p>
        </w:tc>
      </w:tr>
    </w:tbl>
    <w:p>
      <w:pPr>
        <w:spacing w:before="40" w:after="160"/>
        <w:jc w:val="center"/>
      </w:pPr>
      <w:r>
        <w:rPr>
          <w:rFonts w:ascii="Microsoft YaHei" w:hAnsi="Microsoft YaHei" w:eastAsia="Microsoft YaHei"/>
          <w:i/>
          <w:color w:val="646464"/>
          <w:sz w:val="18"/>
        </w:rPr>
        <w:t>图 3-1：GREAT-Stereo 实测产物 —— 左：全稠密视差伪彩图；右：物理度量深度图 (0.5m~5.0m)</w:t>
      </w:r>
    </w:p>
    <w:p>
      <w:pPr>
        <w:spacing w:before="120" w:after="40"/>
        <w:jc w:val="center"/>
      </w:pPr>
    </w:p>
    <w:p>
      <w:r>
        <w:drawing>
          <wp:inline xmlns:a="http://schemas.openxmlformats.org/drawingml/2006/main" xmlns:pic="http://schemas.openxmlformats.org/drawingml/2006/picture">
            <wp:extent cx="5669280" cy="3496650"/>
            <wp:docPr id="4" name="Picture 4"/>
            <wp:cNvGraphicFramePr>
              <a:graphicFrameLocks noChangeAspect="1"/>
            </wp:cNvGraphicFramePr>
            <a:graphic>
              <a:graphicData uri="http://schemas.openxmlformats.org/drawingml/2006/picture">
                <pic:pic>
                  <pic:nvPicPr>
                    <pic:cNvPr id="0" name="showcase_great_20260922_173231.png"/>
                    <pic:cNvPicPr/>
                  </pic:nvPicPr>
                  <pic:blipFill>
                    <a:blip r:embed="rId12"/>
                    <a:stretch>
                      <a:fillRect/>
                    </a:stretch>
                  </pic:blipFill>
                  <pic:spPr>
                    <a:xfrm>
                      <a:off x="0" y="0"/>
                      <a:ext cx="5669280" cy="3496650"/>
                    </a:xfrm>
                    <a:prstGeom prst="rect"/>
                  </pic:spPr>
                </pic:pic>
              </a:graphicData>
            </a:graphic>
          </wp:inline>
        </w:drawing>
      </w:r>
    </w:p>
    <w:p>
      <w:pPr>
        <w:spacing w:before="40" w:after="160"/>
        <w:jc w:val="center"/>
      </w:pPr>
      <w:r>
        <w:rPr>
          <w:rFonts w:ascii="Microsoft YaHei" w:hAnsi="Microsoft YaHei" w:eastAsia="Microsoft YaHei"/>
          <w:i/>
          <w:color w:val="646464"/>
          <w:sz w:val="18"/>
        </w:rPr>
        <w:t>图 3-2：GREAT-Stereo 实机全流程诊断监控大图 (极线对齐、稠密视差与 125.6 万点 3D 点云渲染)</w:t>
      </w:r>
    </w:p>
    <w:p>
      <w:pPr>
        <w:pStyle w:val="Heading1"/>
        <w:spacing w:before="280" w:after="80"/>
      </w:pPr>
      <w:r>
        <w:rPr>
          <w:rFonts w:ascii="Microsoft YaHei" w:hAnsi="Microsoft YaHei" w:eastAsia="Microsoft YaHei"/>
          <w:b/>
          <w:color w:val="1F4E79"/>
          <w:sz w:val="30"/>
        </w:rPr>
        <w:t>四、 三维点云实测几何指标与质量分析</w:t>
      </w:r>
    </w:p>
    <w:p>
      <w:pPr>
        <w:spacing w:after="80" w:line="300" w:lineRule="auto"/>
      </w:pPr>
      <w:r>
        <w:rPr>
          <w:rFonts w:ascii="Microsoft YaHei" w:hAnsi="Microsoft YaHei" w:eastAsia="Microsoft YaHei"/>
          <w:b/>
          <w:color w:val="1F4E79"/>
          <w:sz w:val="21"/>
        </w:rPr>
        <w:t>【点云质量评测】</w:t>
      </w:r>
      <w:r>
        <w:rPr>
          <w:rFonts w:ascii="Microsoft YaHei" w:hAnsi="Microsoft YaHei" w:eastAsia="Microsoft YaHei"/>
          <w:color w:val="282828"/>
          <w:sz w:val="21"/>
        </w:rPr>
        <w:t>将导出的 `model_great_20260922_173231.ply` 点云载入 CloudCompare 进行三维几何结构检验，各项指标均表现出优异的工程保真度：</w:t>
      </w:r>
    </w:p>
    <w:p>
      <w:pPr>
        <w:spacing w:after="80" w:line="300" w:lineRule="auto"/>
      </w:pPr>
      <w:r>
        <w:rPr>
          <w:rFonts w:ascii="Microsoft YaHei" w:hAnsi="Microsoft YaHei" w:eastAsia="Microsoft YaHei"/>
          <w:b/>
          <w:color w:val="1F4E79"/>
          <w:sz w:val="21"/>
        </w:rPr>
        <w:t>● 有效点云数量：</w:t>
      </w:r>
      <w:r>
        <w:rPr>
          <w:rFonts w:ascii="Microsoft YaHei" w:hAnsi="Microsoft YaHei" w:eastAsia="Microsoft YaHei"/>
          <w:color w:val="282828"/>
          <w:sz w:val="21"/>
        </w:rPr>
        <w:t>1,256,119 个 3D 空间点（完整包含 3D 空间坐标 X, Y, Z 与 RGB 真实纹理色彩）。</w:t>
      </w:r>
    </w:p>
    <w:p>
      <w:pPr>
        <w:spacing w:after="80" w:line="300" w:lineRule="auto"/>
      </w:pPr>
      <w:r>
        <w:rPr>
          <w:rFonts w:ascii="Microsoft YaHei" w:hAnsi="Microsoft YaHei" w:eastAsia="Microsoft YaHei"/>
          <w:b/>
          <w:color w:val="1F4E79"/>
          <w:sz w:val="21"/>
        </w:rPr>
        <w:t>● 有效深度测量范围：</w:t>
      </w:r>
      <w:r>
        <w:rPr>
          <w:rFonts w:ascii="Microsoft YaHei" w:hAnsi="Microsoft YaHei" w:eastAsia="Microsoft YaHei"/>
          <w:color w:val="282828"/>
          <w:sz w:val="21"/>
        </w:rPr>
        <w:t>0.50 米至 5.00 米，近处圆凳（物距约 2.3m~2.8m）与后排立柜及背景墙面（3.2m~4.6m）空间分层极其清晰。</w:t>
      </w:r>
    </w:p>
    <w:p>
      <w:pPr>
        <w:spacing w:after="80" w:line="300" w:lineRule="auto"/>
      </w:pPr>
      <w:r>
        <w:rPr>
          <w:rFonts w:ascii="Microsoft YaHei" w:hAnsi="Microsoft YaHei" w:eastAsia="Microsoft YaHei"/>
          <w:b/>
          <w:color w:val="1F4E79"/>
          <w:sz w:val="21"/>
        </w:rPr>
        <w:t>● 边缘几何保真度：</w:t>
      </w:r>
      <w:r>
        <w:rPr>
          <w:rFonts w:ascii="Microsoft YaHei" w:hAnsi="Microsoft YaHei" w:eastAsia="Microsoft YaHei"/>
          <w:color w:val="282828"/>
          <w:sz w:val="21"/>
        </w:rPr>
        <w:t>圆凳边缘锐利分明，无传统 SGBM 算法常见的拉扯拖尾效应（Flying Pixels 伪影已被消除）。</w:t>
      </w:r>
    </w:p>
    <w:p>
      <w:pPr>
        <w:spacing w:after="80" w:line="300" w:lineRule="auto"/>
      </w:pPr>
      <w:r>
        <w:rPr>
          <w:rFonts w:ascii="Microsoft YaHei" w:hAnsi="Microsoft YaHei" w:eastAsia="Microsoft YaHei"/>
          <w:b/>
          <w:color w:val="1F4E79"/>
          <w:sz w:val="21"/>
        </w:rPr>
        <w:t>● 法向量与光照感：</w:t>
      </w:r>
      <w:r>
        <w:rPr>
          <w:rFonts w:ascii="Microsoft YaHei" w:hAnsi="Microsoft YaHei" w:eastAsia="Microsoft YaHei"/>
          <w:color w:val="282828"/>
          <w:sz w:val="21"/>
        </w:rPr>
        <w:t>已在生成流水线中启用法向量自适应估计（k=30 邻域），在 3D 查看器中表面具备逼真的明暗凹凸立体感。</w:t>
      </w:r>
    </w:p>
    <w:p>
      <w:pPr>
        <w:pStyle w:val="Heading1"/>
        <w:spacing w:before="280" w:after="80"/>
      </w:pPr>
      <w:r>
        <w:rPr>
          <w:rFonts w:ascii="Microsoft YaHei" w:hAnsi="Microsoft YaHei" w:eastAsia="Microsoft YaHei"/>
          <w:b/>
          <w:color w:val="1F4E79"/>
          <w:sz w:val="30"/>
        </w:rPr>
        <w:t>五、 工程交付与自动化架构优化</w:t>
      </w:r>
    </w:p>
    <w:p>
      <w:pPr>
        <w:spacing w:after="80" w:line="300" w:lineRule="auto"/>
      </w:pPr>
      <w:r>
        <w:rPr>
          <w:rFonts w:ascii="Microsoft YaHei" w:hAnsi="Microsoft YaHei" w:eastAsia="Microsoft YaHei"/>
          <w:color w:val="282828"/>
          <w:sz w:val="21"/>
        </w:rPr>
        <w:t>为确保算法易用性与团队协作顺畅，本周在工程架构层面完成了三项关键优化：</w:t>
      </w:r>
    </w:p>
    <w:p>
      <w:pPr>
        <w:spacing w:after="80" w:line="300" w:lineRule="auto"/>
      </w:pPr>
      <w:r>
        <w:rPr>
          <w:rFonts w:ascii="Microsoft YaHei" w:hAnsi="Microsoft YaHei" w:eastAsia="Microsoft YaHei"/>
          <w:b/>
          <w:color w:val="1F4E79"/>
          <w:sz w:val="21"/>
        </w:rPr>
        <w:t>1. 跨 Python 环境动态桥接技术：</w:t>
      </w:r>
      <w:r>
        <w:rPr>
          <w:rFonts w:ascii="Microsoft YaHei" w:hAnsi="Microsoft YaHei" w:eastAsia="Microsoft YaHei"/>
          <w:color w:val="282828"/>
          <w:sz w:val="21"/>
        </w:rPr>
        <w:t>针对用户在 VS Code 中通常激活 base 环境（未安装 PyTorch）的问题，在代码中设计了动态运行时桥接器，启动时自动将 `ffs` Conda 环境中的 PyTorch 核心包与 CUDA DLL 路径注入当前进程。用户无需切换终端环境，直接点击 VS Code 绿色的 ▶ 按钮即可顺畅运行深度重建。</w:t>
      </w:r>
    </w:p>
    <w:p>
      <w:pPr>
        <w:spacing w:after="80" w:line="300" w:lineRule="auto"/>
      </w:pPr>
      <w:r>
        <w:rPr>
          <w:rFonts w:ascii="Microsoft YaHei" w:hAnsi="Microsoft YaHei" w:eastAsia="Microsoft YaHei"/>
          <w:b/>
          <w:color w:val="1F4E79"/>
          <w:sz w:val="21"/>
        </w:rPr>
        <w:t>1. 标准化输出目录与防污染隔离：</w:t>
      </w:r>
      <w:r>
        <w:rPr>
          <w:rFonts w:ascii="Microsoft YaHei" w:hAnsi="Microsoft YaHei" w:eastAsia="Microsoft YaHei"/>
          <w:color w:val="282828"/>
          <w:sz w:val="21"/>
        </w:rPr>
        <w:t>重建产物按照 `recon_YYYYMMDD_HHMMSS_great/` 格式进行独立文件夹隔离。彻底清理了散落在外层的 `latest_*` 临时冗余文件，使输出目录结构清晰、天然支持时间顺序溯源。</w:t>
      </w:r>
    </w:p>
    <w:p>
      <w:pPr>
        <w:spacing w:after="80" w:line="300" w:lineRule="auto"/>
      </w:pPr>
      <w:r>
        <w:rPr>
          <w:rFonts w:ascii="Microsoft YaHei" w:hAnsi="Microsoft YaHei" w:eastAsia="Microsoft YaHei"/>
          <w:b/>
          <w:color w:val="1F4E79"/>
          <w:sz w:val="21"/>
        </w:rPr>
        <w:t>1. Git LFS 大资产托管与版本锁定：</w:t>
      </w:r>
      <w:r>
        <w:rPr>
          <w:rFonts w:ascii="Microsoft YaHei" w:hAnsi="Microsoft YaHei" w:eastAsia="Microsoft YaHei"/>
          <w:color w:val="282828"/>
          <w:sz w:val="21"/>
        </w:rPr>
        <w:t>将超过 50MB 的稠密 `.ply` 点云模型纳入 Git Large File Storage (LFS) 进行纳管，全量代码与资产成功推送至 GitHub 仓库，正式打上 `v0.6.0` 里程碑标签。</w:t>
      </w:r>
    </w:p>
    <w:p>
      <w:pPr>
        <w:pStyle w:val="Heading1"/>
        <w:spacing w:before="280" w:after="80"/>
      </w:pPr>
      <w:r>
        <w:rPr>
          <w:rFonts w:ascii="Microsoft YaHei" w:hAnsi="Microsoft YaHei" w:eastAsia="Microsoft YaHei"/>
          <w:b/>
          <w:color w:val="1F4E79"/>
          <w:sz w:val="30"/>
        </w:rPr>
        <w:t>六、 核心工程难点复盘与技术笔记沉淀</w:t>
      </w:r>
    </w:p>
    <w:p>
      <w:pPr>
        <w:spacing w:after="80" w:line="300" w:lineRule="auto"/>
      </w:pPr>
      <w:r>
        <w:rPr>
          <w:rFonts w:ascii="Microsoft YaHei" w:hAnsi="Microsoft YaHei" w:eastAsia="Microsoft YaHei"/>
          <w:color w:val="282828"/>
          <w:sz w:val="21"/>
        </w:rPr>
        <w:t>本周在底层数学几何与物理实操中攻克了多项隐蔽 Bug，并系统整理至项目答疑手册 `NOTEBOOK.md`（共 18 个技术专题）：</w:t>
      </w:r>
    </w:p>
    <w:p>
      <w:pPr>
        <w:spacing w:after="80" w:line="300" w:lineRule="auto"/>
      </w:pPr>
      <w:r>
        <w:rPr>
          <w:rFonts w:ascii="Microsoft YaHei" w:hAnsi="Microsoft YaHei" w:eastAsia="Microsoft YaHei"/>
          <w:b/>
          <w:color w:val="1F4E79"/>
          <w:sz w:val="21"/>
        </w:rPr>
        <w:t>◆ 左右目颠倒识别与数学判定 (Q16)：</w:t>
      </w:r>
      <w:r>
        <w:rPr>
          <w:rFonts w:ascii="Microsoft YaHei" w:hAnsi="Microsoft YaHei" w:eastAsia="Microsoft YaHei"/>
          <w:color w:val="282828"/>
          <w:sz w:val="21"/>
        </w:rPr>
        <w:t>实操中若左右图颠倒，视差公式由于符号翻转会导致深度算得负数或近大远小畸变。本工程建立了基于极线匹配位移符号的自动诊断准则。</w:t>
      </w:r>
    </w:p>
    <w:p>
      <w:pPr>
        <w:spacing w:after="80" w:line="300" w:lineRule="auto"/>
      </w:pPr>
      <w:r>
        <w:rPr>
          <w:rFonts w:ascii="Microsoft YaHei" w:hAnsi="Microsoft YaHei" w:eastAsia="Microsoft YaHei"/>
          <w:b/>
          <w:color w:val="1F4E79"/>
          <w:sz w:val="21"/>
        </w:rPr>
        <w:t>◆ 双目收敛面与视差搜索范围设置 (Q8)：</w:t>
      </w:r>
      <w:r>
        <w:rPr>
          <w:rFonts w:ascii="Microsoft YaHei" w:hAnsi="Microsoft YaHei" w:eastAsia="Microsoft YaHei"/>
          <w:color w:val="282828"/>
          <w:sz w:val="21"/>
        </w:rPr>
        <w:t>剖析了双目相机视轴在无穷远或有限距离处交叉时产生的收敛面物理效应，纠正了传统误区，将视差搜索原点锁定为 0。</w:t>
      </w:r>
    </w:p>
    <w:p>
      <w:pPr>
        <w:spacing w:after="80" w:line="300" w:lineRule="auto"/>
      </w:pPr>
      <w:r>
        <w:rPr>
          <w:rFonts w:ascii="Microsoft YaHei" w:hAnsi="Microsoft YaHei" w:eastAsia="Microsoft YaHei"/>
          <w:b/>
          <w:color w:val="1F4E79"/>
          <w:sz w:val="21"/>
        </w:rPr>
        <w:t>◆ 光滑木质表面的梯田阶梯断层消解 (Q13)：</w:t>
      </w:r>
      <w:r>
        <w:rPr>
          <w:rFonts w:ascii="Microsoft YaHei" w:hAnsi="Microsoft YaHei" w:eastAsia="Microsoft YaHei"/>
          <w:color w:val="282828"/>
          <w:sz w:val="21"/>
        </w:rPr>
        <w:t>阐明了传统立体匹配在低纹理表面因离散代价产生阶梯状切片的根因，论证了引入深度网络显式极线先验的必要性。</w:t>
      </w:r>
    </w:p>
    <w:p>
      <w:pPr>
        <w:pStyle w:val="Heading1"/>
        <w:spacing w:before="280" w:after="80"/>
      </w:pPr>
      <w:r>
        <w:rPr>
          <w:rFonts w:ascii="Microsoft YaHei" w:hAnsi="Microsoft YaHei" w:eastAsia="Microsoft YaHei"/>
          <w:b/>
          <w:color w:val="1F4E79"/>
          <w:sz w:val="30"/>
        </w:rPr>
        <w:t>七、 下一阶段任务安排与推进路线</w:t>
      </w:r>
    </w:p>
    <w:p>
      <w:pPr>
        <w:spacing w:after="80" w:line="300" w:lineRule="auto"/>
      </w:pPr>
      <w:r>
        <w:rPr>
          <w:rFonts w:ascii="Microsoft YaHei" w:hAnsi="Microsoft YaHei" w:eastAsia="Microsoft YaHei"/>
          <w:color w:val="282828"/>
          <w:sz w:val="21"/>
        </w:rPr>
        <w:t>基于当前已经取得的 125.6 万点高精度稠密点云，下一阶段将围绕“点云精细化滤波、水密网格化、多视角实物拼接与双轨系统联动”展开：</w:t>
      </w:r>
    </w:p>
    <w:tbl>
      <w:tblPr>
        <w:tblW w:type="auto" w:w="0"/>
        <w:jc w:val="center"/>
        <w:tblLook w:firstColumn="1" w:firstRow="1" w:lastColumn="0" w:lastRow="0" w:noHBand="0" w:noVBand="1" w:val="04A0"/>
      </w:tblPr>
      <w:tblGrid>
        <w:gridCol w:w="2484"/>
        <w:gridCol w:w="2484"/>
        <w:gridCol w:w="2484"/>
        <w:gridCol w:w="2484"/>
      </w:tblGrid>
      <w:tr>
        <w:tc>
          <w:tcPr>
            <w:tcW w:type="dxa" w:w="2484"/>
            <w:shd w:fill="1F4E79"/>
            <w:tcMar>
              <w:top w:w="100" w:type="dxa"/>
              <w:bottom w:w="100" w:type="dxa"/>
              <w:left w:w="100" w:type="dxa"/>
              <w:right w:w="100" w:type="dxa"/>
            </w:tcMar>
          </w:tcPr>
          <w:p>
            <w:pPr>
              <w:jc w:val="center"/>
            </w:pPr>
            <w:r>
              <w:rPr>
                <w:rFonts w:ascii="Microsoft YaHei" w:hAnsi="Microsoft YaHei"/>
                <w:b/>
                <w:color w:val="FFFFFF"/>
                <w:sz w:val="19"/>
              </w:rPr>
              <w:t>实施阶段</w:t>
            </w:r>
          </w:p>
        </w:tc>
        <w:tc>
          <w:tcPr>
            <w:tcW w:type="dxa" w:w="2484"/>
            <w:shd w:fill="1F4E79"/>
            <w:tcMar>
              <w:top w:w="100" w:type="dxa"/>
              <w:bottom w:w="100" w:type="dxa"/>
              <w:left w:w="100" w:type="dxa"/>
              <w:right w:w="100" w:type="dxa"/>
            </w:tcMar>
          </w:tcPr>
          <w:p>
            <w:pPr>
              <w:jc w:val="center"/>
            </w:pPr>
            <w:r>
              <w:rPr>
                <w:rFonts w:ascii="Microsoft YaHei" w:hAnsi="Microsoft YaHei"/>
                <w:b/>
                <w:color w:val="FFFFFF"/>
                <w:sz w:val="19"/>
              </w:rPr>
              <w:t>任务核心内容</w:t>
            </w:r>
          </w:p>
        </w:tc>
        <w:tc>
          <w:tcPr>
            <w:tcW w:type="dxa" w:w="2484"/>
            <w:shd w:fill="1F4E79"/>
            <w:tcMar>
              <w:top w:w="100" w:type="dxa"/>
              <w:bottom w:w="100" w:type="dxa"/>
              <w:left w:w="100" w:type="dxa"/>
              <w:right w:w="100" w:type="dxa"/>
            </w:tcMar>
          </w:tcPr>
          <w:p>
            <w:pPr>
              <w:jc w:val="center"/>
            </w:pPr>
            <w:r>
              <w:rPr>
                <w:rFonts w:ascii="Microsoft YaHei" w:hAnsi="Microsoft YaHei"/>
                <w:b/>
                <w:color w:val="FFFFFF"/>
                <w:sz w:val="19"/>
              </w:rPr>
              <w:t>预期交付产物</w:t>
            </w:r>
          </w:p>
        </w:tc>
        <w:tc>
          <w:tcPr>
            <w:tcW w:type="dxa" w:w="2484"/>
            <w:shd w:fill="1F4E79"/>
            <w:tcMar>
              <w:top w:w="100" w:type="dxa"/>
              <w:bottom w:w="100" w:type="dxa"/>
              <w:left w:w="100" w:type="dxa"/>
              <w:right w:w="100" w:type="dxa"/>
            </w:tcMar>
          </w:tcPr>
          <w:p>
            <w:pPr>
              <w:jc w:val="center"/>
            </w:pPr>
            <w:r>
              <w:rPr>
                <w:rFonts w:ascii="Microsoft YaHei" w:hAnsi="Microsoft YaHei"/>
                <w:b/>
                <w:color w:val="FFFFFF"/>
                <w:sz w:val="19"/>
              </w:rPr>
              <w:t>目标指标</w:t>
            </w:r>
          </w:p>
        </w:tc>
      </w:tr>
      <w:tr>
        <w:tc>
          <w:tcPr>
            <w:tcW w:type="dxa" w:w="2484"/>
            <w:tcMar>
              <w:top w:w="70" w:type="dxa"/>
              <w:bottom w:w="70" w:type="dxa"/>
              <w:left w:w="80" w:type="dxa"/>
              <w:right w:w="80" w:type="dxa"/>
            </w:tcMar>
          </w:tcPr>
          <w:p>
            <w:pPr>
              <w:jc w:val="center"/>
            </w:pPr>
            <w:r>
              <w:rPr>
                <w:rFonts w:ascii="Microsoft YaHei" w:hAnsi="Microsoft YaHei"/>
                <w:b/>
                <w:color w:val="1F4E79"/>
                <w:sz w:val="17"/>
              </w:rPr>
              <w:t>阶段一：点云后处理与高保真滤波</w:t>
            </w:r>
          </w:p>
        </w:tc>
        <w:tc>
          <w:tcPr>
            <w:tcW w:type="dxa" w:w="2484"/>
            <w:tcMar>
              <w:top w:w="70" w:type="dxa"/>
              <w:bottom w:w="70" w:type="dxa"/>
              <w:left w:w="80" w:type="dxa"/>
              <w:right w:w="80" w:type="dxa"/>
            </w:tcMar>
          </w:tcPr>
          <w:p>
            <w:pPr>
              <w:jc w:val="left"/>
            </w:pPr>
            <w:r>
              <w:rPr>
                <w:rFonts w:ascii="Microsoft YaHei" w:hAnsi="Microsoft YaHei"/>
                <w:sz w:val="17"/>
              </w:rPr>
              <w:t>实现统计离群值去噪 (SOR) 与半径滤波算法，剔除背景悬浮孤立噪点与边界毛刺</w:t>
            </w:r>
          </w:p>
        </w:tc>
        <w:tc>
          <w:tcPr>
            <w:tcW w:type="dxa" w:w="2484"/>
            <w:tcMar>
              <w:top w:w="70" w:type="dxa"/>
              <w:bottom w:w="70" w:type="dxa"/>
              <w:left w:w="80" w:type="dxa"/>
              <w:right w:w="80" w:type="dxa"/>
            </w:tcMar>
          </w:tcPr>
          <w:p>
            <w:pPr>
              <w:jc w:val="left"/>
            </w:pPr>
            <w:r>
              <w:rPr>
                <w:rFonts w:ascii="Microsoft YaHei" w:hAnsi="Microsoft YaHei"/>
                <w:sz w:val="17"/>
              </w:rPr>
              <w:t>点云滤波处理模块 `src/stereo/filter.py` 及净化后点云</w:t>
            </w:r>
          </w:p>
        </w:tc>
        <w:tc>
          <w:tcPr>
            <w:tcW w:type="dxa" w:w="2484"/>
            <w:tcMar>
              <w:top w:w="70" w:type="dxa"/>
              <w:bottom w:w="70" w:type="dxa"/>
              <w:left w:w="80" w:type="dxa"/>
              <w:right w:w="80" w:type="dxa"/>
            </w:tcMar>
          </w:tcPr>
          <w:p>
            <w:pPr>
              <w:jc w:val="center"/>
            </w:pPr>
            <w:r>
              <w:rPr>
                <w:rFonts w:ascii="Microsoft YaHei" w:hAnsi="Microsoft YaHei"/>
                <w:b/>
                <w:color w:val="C00000"/>
                <w:sz w:val="17"/>
              </w:rPr>
              <w:t>离群噪点消除率 &gt; 95%，保留完整真实轮廓</w:t>
            </w:r>
          </w:p>
        </w:tc>
      </w:tr>
      <w:tr>
        <w:tc>
          <w:tcPr>
            <w:tcW w:type="dxa" w:w="2484"/>
            <w:tcMar>
              <w:top w:w="70" w:type="dxa"/>
              <w:bottom w:w="70" w:type="dxa"/>
              <w:left w:w="80" w:type="dxa"/>
              <w:right w:w="80" w:type="dxa"/>
            </w:tcMar>
            <w:shd w:fill="F9FAFC"/>
          </w:tcPr>
          <w:p>
            <w:pPr>
              <w:jc w:val="center"/>
            </w:pPr>
            <w:r>
              <w:rPr>
                <w:rFonts w:ascii="Microsoft YaHei" w:hAnsi="Microsoft YaHei"/>
                <w:b/>
                <w:color w:val="1F4E79"/>
                <w:sz w:val="17"/>
              </w:rPr>
              <w:t>阶段二：泊松表面重构与网格化</w:t>
            </w:r>
          </w:p>
        </w:tc>
        <w:tc>
          <w:tcPr>
            <w:tcW w:type="dxa" w:w="2484"/>
            <w:tcMar>
              <w:top w:w="70" w:type="dxa"/>
              <w:bottom w:w="70" w:type="dxa"/>
              <w:left w:w="80" w:type="dxa"/>
              <w:right w:w="80" w:type="dxa"/>
            </w:tcMar>
            <w:shd w:fill="F9FAFC"/>
          </w:tcPr>
          <w:p>
            <w:pPr>
              <w:jc w:val="left"/>
            </w:pPr>
            <w:r>
              <w:rPr>
                <w:rFonts w:ascii="Microsoft YaHei" w:hAnsi="Microsoft YaHei"/>
                <w:sz w:val="17"/>
              </w:rPr>
              <w:t>计算精准点云法向量，应用泊松表面重构（Poisson Reconstruction）算法将点云转为连续水密三角网格</w:t>
            </w:r>
          </w:p>
        </w:tc>
        <w:tc>
          <w:tcPr>
            <w:tcW w:type="dxa" w:w="2484"/>
            <w:tcMar>
              <w:top w:w="70" w:type="dxa"/>
              <w:bottom w:w="70" w:type="dxa"/>
              <w:left w:w="80" w:type="dxa"/>
              <w:right w:w="80" w:type="dxa"/>
            </w:tcMar>
            <w:shd w:fill="F9FAFC"/>
          </w:tcPr>
          <w:p>
            <w:pPr>
              <w:jc w:val="left"/>
            </w:pPr>
            <w:r>
              <w:rPr>
                <w:rFonts w:ascii="Microsoft YaHei" w:hAnsi="Microsoft YaHei"/>
                <w:sz w:val="17"/>
              </w:rPr>
              <w:t>3D 水密模型 `.obj` / `.stl` 及表面彩色贴图</w:t>
            </w:r>
          </w:p>
        </w:tc>
        <w:tc>
          <w:tcPr>
            <w:tcW w:type="dxa" w:w="2484"/>
            <w:tcMar>
              <w:top w:w="70" w:type="dxa"/>
              <w:bottom w:w="70" w:type="dxa"/>
              <w:left w:w="80" w:type="dxa"/>
              <w:right w:w="80" w:type="dxa"/>
            </w:tcMar>
            <w:shd w:fill="F9FAFC"/>
          </w:tcPr>
          <w:p>
            <w:pPr>
              <w:jc w:val="center"/>
            </w:pPr>
            <w:r>
              <w:rPr>
                <w:rFonts w:ascii="Microsoft YaHei" w:hAnsi="Microsoft YaHei"/>
                <w:b/>
                <w:color w:val="C00000"/>
                <w:sz w:val="17"/>
              </w:rPr>
              <w:t>生成无孔洞、可用于 CAD 分析或 3D 打印的实体网格</w:t>
            </w:r>
          </w:p>
        </w:tc>
      </w:tr>
      <w:tr>
        <w:tc>
          <w:tcPr>
            <w:tcW w:type="dxa" w:w="2484"/>
            <w:tcMar>
              <w:top w:w="70" w:type="dxa"/>
              <w:bottom w:w="70" w:type="dxa"/>
              <w:left w:w="80" w:type="dxa"/>
              <w:right w:w="80" w:type="dxa"/>
            </w:tcMar>
          </w:tcPr>
          <w:p>
            <w:pPr>
              <w:jc w:val="center"/>
            </w:pPr>
            <w:r>
              <w:rPr>
                <w:rFonts w:ascii="Microsoft YaHei" w:hAnsi="Microsoft YaHei"/>
                <w:b/>
                <w:color w:val="1F4E79"/>
                <w:sz w:val="17"/>
              </w:rPr>
              <w:t>阶段三：多视角实机拍摄与 360° 配准</w:t>
            </w:r>
          </w:p>
        </w:tc>
        <w:tc>
          <w:tcPr>
            <w:tcW w:type="dxa" w:w="2484"/>
            <w:tcMar>
              <w:top w:w="70" w:type="dxa"/>
              <w:bottom w:w="70" w:type="dxa"/>
              <w:left w:w="80" w:type="dxa"/>
              <w:right w:w="80" w:type="dxa"/>
            </w:tcMar>
          </w:tcPr>
          <w:p>
            <w:pPr>
              <w:jc w:val="left"/>
            </w:pPr>
            <w:r>
              <w:rPr>
                <w:rFonts w:ascii="Microsoft YaHei" w:hAnsi="Microsoft YaHei"/>
                <w:sz w:val="17"/>
              </w:rPr>
              <w:t>设计多角度实拍方案，运用 FPFH 粗配准与彩色 ICP 精配准将多个机位的点云融合成完整 360° 整体</w:t>
            </w:r>
          </w:p>
        </w:tc>
        <w:tc>
          <w:tcPr>
            <w:tcW w:type="dxa" w:w="2484"/>
            <w:tcMar>
              <w:top w:w="70" w:type="dxa"/>
              <w:bottom w:w="70" w:type="dxa"/>
              <w:left w:w="80" w:type="dxa"/>
              <w:right w:w="80" w:type="dxa"/>
            </w:tcMar>
          </w:tcPr>
          <w:p>
            <w:pPr>
              <w:jc w:val="left"/>
            </w:pPr>
            <w:r>
              <w:rPr>
                <w:rFonts w:ascii="Microsoft YaHei" w:hAnsi="Microsoft YaHei"/>
                <w:sz w:val="17"/>
              </w:rPr>
              <w:t>多视角配准流水线 `scripts/multiview_align.py` 及全景模型</w:t>
            </w:r>
          </w:p>
        </w:tc>
        <w:tc>
          <w:tcPr>
            <w:tcW w:type="dxa" w:w="2484"/>
            <w:tcMar>
              <w:top w:w="70" w:type="dxa"/>
              <w:bottom w:w="70" w:type="dxa"/>
              <w:left w:w="80" w:type="dxa"/>
              <w:right w:w="80" w:type="dxa"/>
            </w:tcMar>
          </w:tcPr>
          <w:p>
            <w:pPr>
              <w:jc w:val="center"/>
            </w:pPr>
            <w:r>
              <w:rPr>
                <w:rFonts w:ascii="Microsoft YaHei" w:hAnsi="Microsoft YaHei"/>
                <w:b/>
                <w:color w:val="C00000"/>
                <w:sz w:val="17"/>
              </w:rPr>
              <w:t>不同机位重叠面配准残差 &lt; 0.5 mm</w:t>
            </w:r>
          </w:p>
        </w:tc>
      </w:tr>
      <w:tr>
        <w:tc>
          <w:tcPr>
            <w:tcW w:type="dxa" w:w="2484"/>
            <w:tcMar>
              <w:top w:w="70" w:type="dxa"/>
              <w:bottom w:w="70" w:type="dxa"/>
              <w:left w:w="80" w:type="dxa"/>
              <w:right w:w="80" w:type="dxa"/>
            </w:tcMar>
            <w:shd w:fill="F9FAFC"/>
          </w:tcPr>
          <w:p>
            <w:pPr>
              <w:jc w:val="center"/>
            </w:pPr>
            <w:r>
              <w:rPr>
                <w:rFonts w:ascii="Microsoft YaHei" w:hAnsi="Microsoft YaHei"/>
                <w:b/>
                <w:color w:val="1F4E79"/>
                <w:sz w:val="17"/>
              </w:rPr>
              <w:t>阶段四：近红外追踪与重建双轨融合</w:t>
            </w:r>
          </w:p>
        </w:tc>
        <w:tc>
          <w:tcPr>
            <w:tcW w:type="dxa" w:w="2484"/>
            <w:tcMar>
              <w:top w:w="70" w:type="dxa"/>
              <w:bottom w:w="70" w:type="dxa"/>
              <w:left w:w="80" w:type="dxa"/>
              <w:right w:w="80" w:type="dxa"/>
            </w:tcMar>
            <w:shd w:fill="F9FAFC"/>
          </w:tcPr>
          <w:p>
            <w:pPr>
              <w:jc w:val="left"/>
            </w:pPr>
            <w:r>
              <w:rPr>
                <w:rFonts w:ascii="Microsoft YaHei" w:hAnsi="Microsoft YaHei"/>
                <w:sz w:val="17"/>
              </w:rPr>
              <w:t>将手术工具近红外标记球高速跟踪（&gt;60 FPS, FRE &lt; 0.2mm）与稠密场景三维重建整合至统一运行控制台</w:t>
            </w:r>
          </w:p>
        </w:tc>
        <w:tc>
          <w:tcPr>
            <w:tcW w:type="dxa" w:w="2484"/>
            <w:tcMar>
              <w:top w:w="70" w:type="dxa"/>
              <w:bottom w:w="70" w:type="dxa"/>
              <w:left w:w="80" w:type="dxa"/>
              <w:right w:w="80" w:type="dxa"/>
            </w:tcMar>
            <w:shd w:fill="F9FAFC"/>
          </w:tcPr>
          <w:p>
            <w:pPr>
              <w:jc w:val="left"/>
            </w:pPr>
            <w:r>
              <w:rPr>
                <w:rFonts w:ascii="Microsoft YaHei" w:hAnsi="Microsoft YaHei"/>
                <w:sz w:val="17"/>
              </w:rPr>
              <w:t>系统集成控制台 `main.py` 及双模态联动演示</w:t>
            </w:r>
          </w:p>
        </w:tc>
        <w:tc>
          <w:tcPr>
            <w:tcW w:type="dxa" w:w="2484"/>
            <w:tcMar>
              <w:top w:w="70" w:type="dxa"/>
              <w:bottom w:w="70" w:type="dxa"/>
              <w:left w:w="80" w:type="dxa"/>
              <w:right w:w="80" w:type="dxa"/>
            </w:tcMar>
            <w:shd w:fill="F9FAFC"/>
          </w:tcPr>
          <w:p>
            <w:pPr>
              <w:jc w:val="center"/>
            </w:pPr>
            <w:r>
              <w:rPr>
                <w:rFonts w:ascii="Microsoft YaHei" w:hAnsi="Microsoft YaHei"/>
                <w:b/>
                <w:color w:val="C00000"/>
                <w:sz w:val="17"/>
              </w:rPr>
              <w:t>支持在重建的 3D 解剖场景中实时显示手术针尖坐标</w:t>
            </w:r>
          </w:p>
        </w:tc>
      </w:tr>
    </w:tbl>
    <w:p>
      <w:pPr>
        <w:spacing w:after="320"/>
      </w:pPr>
    </w:p>
    <w:p>
      <w:pPr>
        <w:jc w:val="right"/>
      </w:pPr>
      <w:r>
        <w:rPr>
          <w:rFonts w:ascii="Microsoft YaHei" w:hAnsi="Microsoft YaHei" w:eastAsia="Microsoft YaHei"/>
          <w:i/>
          <w:color w:val="787878"/>
          <w:sz w:val="19"/>
        </w:rPr>
        <w:t>报告生成日期：2026年9月22日</w:t>
        <w:br/>
        <w:t>双目立体视觉与三维重建研发团队</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