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E49BE" w14:textId="77777777" w:rsidR="00342586" w:rsidRDefault="00342586" w:rsidP="00342586">
      <w:pPr>
        <w:snapToGrid w:val="0"/>
        <w:spacing w:line="440" w:lineRule="exact"/>
        <w:rPr>
          <w:rFonts w:ascii="仿宋_GB2312" w:eastAsia="仿宋_GB2312"/>
          <w:b/>
          <w:color w:val="000000"/>
          <w:sz w:val="28"/>
          <w:szCs w:val="28"/>
        </w:rPr>
      </w:pPr>
    </w:p>
    <w:p w14:paraId="42FFDE75" w14:textId="77777777" w:rsidR="00342586" w:rsidRDefault="00342586" w:rsidP="00342586">
      <w:pPr>
        <w:snapToGrid w:val="0"/>
        <w:spacing w:line="440" w:lineRule="exact"/>
        <w:rPr>
          <w:rFonts w:ascii="仿宋_GB2312" w:eastAsia="仿宋_GB2312"/>
          <w:b/>
          <w:color w:val="000000"/>
          <w:sz w:val="28"/>
          <w:szCs w:val="28"/>
        </w:rPr>
      </w:pPr>
    </w:p>
    <w:p w14:paraId="6D05FF93" w14:textId="77777777" w:rsidR="00342586" w:rsidRDefault="00342586" w:rsidP="00342586">
      <w:pPr>
        <w:snapToGrid w:val="0"/>
        <w:spacing w:line="440" w:lineRule="exact"/>
        <w:rPr>
          <w:rFonts w:ascii="仿宋_GB2312" w:eastAsia="仿宋_GB2312"/>
          <w:b/>
          <w:color w:val="000000"/>
          <w:sz w:val="28"/>
          <w:szCs w:val="28"/>
        </w:rPr>
      </w:pPr>
    </w:p>
    <w:p w14:paraId="43F75A74" w14:textId="77777777" w:rsidR="007539B4" w:rsidRDefault="007539B4" w:rsidP="00342586">
      <w:pPr>
        <w:rPr>
          <w:color w:val="000000"/>
        </w:rPr>
        <w:sectPr w:rsidR="007539B4">
          <w:pgSz w:w="11907" w:h="16840"/>
          <w:pgMar w:top="1474" w:right="1474" w:bottom="1474" w:left="1474" w:header="851" w:footer="851" w:gutter="0"/>
          <w:pgNumType w:start="1"/>
          <w:cols w:space="720"/>
          <w:docGrid w:type="lines" w:linePitch="312"/>
        </w:sectPr>
      </w:pPr>
    </w:p>
    <w:p w14:paraId="0355E8AA" w14:textId="77777777" w:rsidR="007539B4" w:rsidRDefault="007539B4" w:rsidP="00E52A24">
      <w:pPr>
        <w:spacing w:line="520" w:lineRule="exact"/>
        <w:rPr>
          <w:rFonts w:ascii="公文小标宋简" w:eastAsia="公文小标宋简"/>
          <w:color w:val="000000"/>
          <w:sz w:val="36"/>
          <w:szCs w:val="36"/>
        </w:rPr>
      </w:pPr>
    </w:p>
    <w:p w14:paraId="11CB710A" w14:textId="2795CF6F" w:rsidR="007539B4" w:rsidRDefault="00000000" w:rsidP="00E52A24">
      <w:pPr>
        <w:spacing w:line="520" w:lineRule="exact"/>
        <w:jc w:val="center"/>
        <w:rPr>
          <w:rFonts w:ascii="黑体" w:eastAsia="黑体" w:hAnsi="黑体" w:cs="黑体" w:hint="eastAsia"/>
          <w:color w:val="000000"/>
          <w:sz w:val="36"/>
          <w:szCs w:val="36"/>
        </w:rPr>
      </w:pPr>
      <w:r>
        <w:rPr>
          <w:rFonts w:ascii="黑体" w:eastAsia="黑体" w:hAnsi="黑体" w:cs="黑体" w:hint="eastAsia"/>
          <w:color w:val="000000"/>
          <w:sz w:val="36"/>
          <w:szCs w:val="36"/>
        </w:rPr>
        <w:t>毕业论文（设计）原创性声明</w:t>
      </w:r>
    </w:p>
    <w:p w14:paraId="44BC57B6" w14:textId="77777777" w:rsidR="007539B4" w:rsidRDefault="00000000" w:rsidP="00E52A24">
      <w:pPr>
        <w:spacing w:line="520" w:lineRule="exact"/>
        <w:ind w:firstLineChars="200" w:firstLine="560"/>
        <w:rPr>
          <w:color w:val="000000"/>
          <w:sz w:val="28"/>
          <w:szCs w:val="28"/>
        </w:rPr>
      </w:pPr>
      <w:r>
        <w:rPr>
          <w:rFonts w:hint="eastAsia"/>
          <w:color w:val="000000"/>
          <w:sz w:val="28"/>
          <w:szCs w:val="28"/>
        </w:rPr>
        <w:t>本人郑重声明：所呈交的论文（设计）是本人在指导教师的指导下独立进行研究所取得的研究成果。除了论文（设计）中特别加以注明引用的内容外，本论文（设计）不包含任何其他个人或集体已经发表或撰写的成果作品。本人完全意识到本声明的法律后果由本人承担。</w:t>
      </w:r>
    </w:p>
    <w:p w14:paraId="087DBB1C" w14:textId="77777777" w:rsidR="007539B4" w:rsidRDefault="007539B4" w:rsidP="00E52A24">
      <w:pPr>
        <w:spacing w:line="520" w:lineRule="exact"/>
        <w:ind w:firstLineChars="200" w:firstLine="560"/>
        <w:rPr>
          <w:color w:val="000000"/>
          <w:sz w:val="28"/>
          <w:szCs w:val="28"/>
        </w:rPr>
      </w:pPr>
    </w:p>
    <w:p w14:paraId="5A7FDA6A" w14:textId="76A4A031" w:rsidR="007539B4" w:rsidRDefault="00000000" w:rsidP="00E52A24">
      <w:pPr>
        <w:spacing w:line="520" w:lineRule="exact"/>
        <w:ind w:firstLineChars="200" w:firstLine="560"/>
        <w:rPr>
          <w:color w:val="000000"/>
          <w:sz w:val="28"/>
          <w:szCs w:val="28"/>
        </w:rPr>
      </w:pPr>
      <w:r>
        <w:rPr>
          <w:rFonts w:hint="eastAsia"/>
          <w:color w:val="000000"/>
          <w:sz w:val="28"/>
          <w:szCs w:val="28"/>
        </w:rPr>
        <w:t xml:space="preserve">            </w:t>
      </w:r>
      <w:r>
        <w:rPr>
          <w:rFonts w:hint="eastAsia"/>
          <w:color w:val="000000"/>
          <w:sz w:val="28"/>
          <w:szCs w:val="28"/>
        </w:rPr>
        <w:t>作者签名：</w:t>
      </w:r>
      <w:r>
        <w:rPr>
          <w:rFonts w:hint="eastAsia"/>
          <w:color w:val="000000"/>
          <w:sz w:val="28"/>
          <w:szCs w:val="28"/>
        </w:rPr>
        <w:t xml:space="preserve">         </w:t>
      </w:r>
      <w:r>
        <w:rPr>
          <w:color w:val="000000"/>
          <w:sz w:val="28"/>
          <w:szCs w:val="28"/>
        </w:rPr>
        <w:t>2026</w:t>
      </w:r>
      <w:r>
        <w:rPr>
          <w:rFonts w:hint="eastAsia"/>
          <w:color w:val="000000"/>
          <w:sz w:val="13"/>
          <w:szCs w:val="13"/>
        </w:rPr>
        <w:t xml:space="preserve"> </w:t>
      </w:r>
      <w:r>
        <w:rPr>
          <w:rFonts w:hint="eastAsia"/>
          <w:color w:val="000000"/>
          <w:sz w:val="28"/>
          <w:szCs w:val="28"/>
        </w:rPr>
        <w:t>年</w:t>
      </w:r>
      <w:r>
        <w:rPr>
          <w:color w:val="000000"/>
          <w:sz w:val="28"/>
          <w:szCs w:val="28"/>
        </w:rPr>
        <w:t>4</w:t>
      </w:r>
      <w:r>
        <w:rPr>
          <w:rFonts w:hint="eastAsia"/>
          <w:color w:val="000000"/>
          <w:sz w:val="28"/>
          <w:szCs w:val="28"/>
        </w:rPr>
        <w:t>月</w:t>
      </w:r>
      <w:r w:rsidR="00B5520A">
        <w:rPr>
          <w:rFonts w:hint="eastAsia"/>
          <w:color w:val="000000"/>
          <w:sz w:val="28"/>
          <w:szCs w:val="28"/>
        </w:rPr>
        <w:t>26</w:t>
      </w:r>
      <w:r>
        <w:rPr>
          <w:rFonts w:hint="eastAsia"/>
          <w:color w:val="000000"/>
          <w:sz w:val="28"/>
          <w:szCs w:val="28"/>
        </w:rPr>
        <w:t>日</w:t>
      </w:r>
    </w:p>
    <w:p w14:paraId="75EB0C04" w14:textId="024B8E11" w:rsidR="007539B4" w:rsidRDefault="007539B4" w:rsidP="00E52A24">
      <w:pPr>
        <w:jc w:val="center"/>
        <w:rPr>
          <w:rFonts w:ascii="仿宋_GB2312" w:eastAsia="仿宋_GB2312"/>
          <w:b/>
          <w:color w:val="000000"/>
          <w:sz w:val="28"/>
          <w:szCs w:val="28"/>
        </w:rPr>
      </w:pPr>
    </w:p>
    <w:p w14:paraId="5538EACA" w14:textId="77777777" w:rsidR="007539B4" w:rsidRDefault="007539B4" w:rsidP="00E52A24">
      <w:pPr>
        <w:jc w:val="center"/>
        <w:rPr>
          <w:rFonts w:ascii="仿宋_GB2312" w:eastAsia="仿宋_GB2312"/>
          <w:b/>
          <w:color w:val="000000"/>
          <w:sz w:val="28"/>
          <w:szCs w:val="28"/>
        </w:rPr>
      </w:pPr>
    </w:p>
    <w:p w14:paraId="0394329C" w14:textId="77777777" w:rsidR="007539B4" w:rsidRDefault="00000000" w:rsidP="00E52A24">
      <w:pPr>
        <w:spacing w:line="520" w:lineRule="exact"/>
        <w:jc w:val="center"/>
        <w:rPr>
          <w:rFonts w:ascii="黑体" w:eastAsia="黑体" w:hAnsi="黑体" w:cs="黑体" w:hint="eastAsia"/>
          <w:color w:val="000000"/>
          <w:sz w:val="36"/>
          <w:szCs w:val="36"/>
        </w:rPr>
      </w:pPr>
      <w:r>
        <w:rPr>
          <w:rFonts w:ascii="黑体" w:eastAsia="黑体" w:hAnsi="黑体" w:cs="黑体" w:hint="eastAsia"/>
          <w:color w:val="000000"/>
          <w:sz w:val="36"/>
          <w:szCs w:val="36"/>
        </w:rPr>
        <w:t>毕业论文（设计）版权使用授权书</w:t>
      </w:r>
    </w:p>
    <w:p w14:paraId="67663B60" w14:textId="77777777" w:rsidR="007539B4" w:rsidRDefault="00000000" w:rsidP="00E52A24">
      <w:pPr>
        <w:spacing w:line="520" w:lineRule="exact"/>
        <w:ind w:firstLineChars="200" w:firstLine="560"/>
        <w:rPr>
          <w:color w:val="000000"/>
          <w:sz w:val="28"/>
          <w:szCs w:val="28"/>
        </w:rPr>
      </w:pPr>
      <w:r>
        <w:rPr>
          <w:rFonts w:hint="eastAsia"/>
          <w:color w:val="000000"/>
          <w:sz w:val="28"/>
          <w:szCs w:val="28"/>
        </w:rPr>
        <w:t>本毕业论文（设计）作者完全了解学校有关保障、使用毕业论文（设计）的规定，同意学校保留并向有关学位论文（设计）管理部门或机构送交论文（设计）的复印件和电子版，允许论文（设计）被查阅和借阅。本人授权省级优秀学士学位论文（设计）评选机构将本论文（设计）全部或部分内容编入有关数据库进行检索，可以采用影印、缩印或扫描等复制手段保存和汇编本学位论文（设计）。</w:t>
      </w:r>
    </w:p>
    <w:p w14:paraId="5800AE43" w14:textId="77777777" w:rsidR="007539B4" w:rsidRDefault="00000000" w:rsidP="00E52A24">
      <w:pPr>
        <w:spacing w:line="520" w:lineRule="exact"/>
        <w:ind w:firstLineChars="200" w:firstLine="560"/>
        <w:rPr>
          <w:color w:val="000000"/>
          <w:sz w:val="28"/>
          <w:szCs w:val="28"/>
        </w:rPr>
      </w:pPr>
      <w:r>
        <w:rPr>
          <w:rFonts w:hint="eastAsia"/>
          <w:color w:val="000000"/>
          <w:sz w:val="28"/>
          <w:szCs w:val="28"/>
        </w:rPr>
        <w:t>本论文（设计）属于：</w:t>
      </w:r>
    </w:p>
    <w:p w14:paraId="2D2A18C2" w14:textId="77777777" w:rsidR="007539B4" w:rsidRDefault="00000000" w:rsidP="00E52A24">
      <w:pPr>
        <w:spacing w:line="520" w:lineRule="exact"/>
        <w:ind w:firstLineChars="200" w:firstLine="560"/>
        <w:rPr>
          <w:color w:val="000000"/>
          <w:sz w:val="28"/>
          <w:szCs w:val="28"/>
        </w:rPr>
      </w:pPr>
      <w:r>
        <w:rPr>
          <w:rFonts w:hint="eastAsia"/>
          <w:color w:val="000000"/>
          <w:sz w:val="28"/>
          <w:szCs w:val="28"/>
        </w:rPr>
        <w:t xml:space="preserve">    </w:t>
      </w:r>
      <w:r>
        <w:rPr>
          <w:rFonts w:hint="eastAsia"/>
          <w:color w:val="000000"/>
          <w:sz w:val="28"/>
          <w:szCs w:val="28"/>
        </w:rPr>
        <w:t>保</w:t>
      </w:r>
      <w:r>
        <w:rPr>
          <w:rFonts w:hint="eastAsia"/>
          <w:color w:val="000000"/>
          <w:sz w:val="28"/>
          <w:szCs w:val="28"/>
        </w:rPr>
        <w:t xml:space="preserve">  </w:t>
      </w:r>
      <w:r>
        <w:rPr>
          <w:rFonts w:hint="eastAsia"/>
          <w:color w:val="000000"/>
          <w:sz w:val="28"/>
          <w:szCs w:val="28"/>
        </w:rPr>
        <w:t>密</w:t>
      </w:r>
      <w:r>
        <w:rPr>
          <w:rFonts w:hint="eastAsia"/>
          <w:color w:val="000000"/>
          <w:sz w:val="32"/>
          <w:szCs w:val="32"/>
        </w:rPr>
        <w:t>□</w:t>
      </w:r>
      <w:r>
        <w:rPr>
          <w:rFonts w:hint="eastAsia"/>
          <w:color w:val="000000"/>
          <w:sz w:val="28"/>
          <w:szCs w:val="28"/>
        </w:rPr>
        <w:t>，在</w:t>
      </w:r>
      <w:r>
        <w:rPr>
          <w:rFonts w:hint="eastAsia"/>
          <w:color w:val="000000"/>
          <w:sz w:val="28"/>
          <w:szCs w:val="28"/>
          <w:u w:val="single"/>
        </w:rPr>
        <w:t xml:space="preserve">           </w:t>
      </w:r>
      <w:r>
        <w:rPr>
          <w:rFonts w:hint="eastAsia"/>
          <w:color w:val="000000"/>
          <w:sz w:val="28"/>
          <w:szCs w:val="28"/>
        </w:rPr>
        <w:t>年解密后适用本授权书。</w:t>
      </w:r>
    </w:p>
    <w:p w14:paraId="43048AD7" w14:textId="0D1B7462" w:rsidR="007539B4" w:rsidRDefault="00000000" w:rsidP="00E52A24">
      <w:pPr>
        <w:spacing w:line="520" w:lineRule="exact"/>
        <w:ind w:firstLineChars="200" w:firstLine="560"/>
        <w:rPr>
          <w:color w:val="000000"/>
          <w:sz w:val="28"/>
          <w:szCs w:val="28"/>
        </w:rPr>
      </w:pPr>
      <w:r>
        <w:rPr>
          <w:rFonts w:hint="eastAsia"/>
          <w:color w:val="000000"/>
          <w:sz w:val="28"/>
          <w:szCs w:val="28"/>
        </w:rPr>
        <w:t xml:space="preserve">    </w:t>
      </w:r>
      <w:r>
        <w:rPr>
          <w:rFonts w:hint="eastAsia"/>
          <w:color w:val="000000"/>
          <w:sz w:val="28"/>
          <w:szCs w:val="28"/>
        </w:rPr>
        <w:t>不保密</w:t>
      </w:r>
      <w:r w:rsidR="00EC4BAC" w:rsidRPr="00EC4BAC">
        <w:rPr>
          <w:rFonts w:ascii="Segoe UI Symbol" w:hAnsi="Segoe UI Symbol" w:cs="Segoe UI Symbol"/>
          <w:color w:val="000000"/>
          <w:sz w:val="36"/>
          <w:szCs w:val="36"/>
        </w:rPr>
        <w:t>☑</w:t>
      </w:r>
      <w:r>
        <w:rPr>
          <w:rFonts w:hint="eastAsia"/>
          <w:color w:val="000000"/>
          <w:sz w:val="28"/>
          <w:szCs w:val="28"/>
        </w:rPr>
        <w:t>。</w:t>
      </w:r>
    </w:p>
    <w:p w14:paraId="204F3512" w14:textId="77777777" w:rsidR="007539B4" w:rsidRDefault="00000000" w:rsidP="00E52A24">
      <w:pPr>
        <w:spacing w:line="520" w:lineRule="exact"/>
        <w:ind w:firstLineChars="200" w:firstLine="560"/>
        <w:rPr>
          <w:color w:val="000000"/>
          <w:sz w:val="28"/>
          <w:szCs w:val="28"/>
        </w:rPr>
      </w:pPr>
      <w:r>
        <w:rPr>
          <w:rFonts w:hint="eastAsia"/>
          <w:color w:val="000000"/>
          <w:sz w:val="28"/>
          <w:szCs w:val="28"/>
        </w:rPr>
        <w:t xml:space="preserve">            </w:t>
      </w:r>
      <w:r>
        <w:rPr>
          <w:rFonts w:hint="eastAsia"/>
          <w:color w:val="000000"/>
          <w:sz w:val="28"/>
          <w:szCs w:val="28"/>
        </w:rPr>
        <w:t>（请在以上相应的方框内打“√”）</w:t>
      </w:r>
    </w:p>
    <w:p w14:paraId="19B3BAA6" w14:textId="77777777" w:rsidR="007539B4" w:rsidRDefault="007539B4" w:rsidP="00E52A24">
      <w:pPr>
        <w:spacing w:line="520" w:lineRule="exact"/>
        <w:ind w:firstLineChars="200" w:firstLine="560"/>
        <w:rPr>
          <w:color w:val="000000"/>
          <w:sz w:val="28"/>
          <w:szCs w:val="28"/>
        </w:rPr>
      </w:pPr>
    </w:p>
    <w:p w14:paraId="1F0C343E" w14:textId="4D530151" w:rsidR="007539B4" w:rsidRDefault="00000000" w:rsidP="00E52A24">
      <w:pPr>
        <w:spacing w:line="520" w:lineRule="exact"/>
        <w:ind w:firstLineChars="200" w:firstLine="560"/>
        <w:rPr>
          <w:color w:val="000000"/>
          <w:sz w:val="28"/>
          <w:szCs w:val="28"/>
        </w:rPr>
      </w:pPr>
      <w:r>
        <w:rPr>
          <w:rFonts w:hint="eastAsia"/>
          <w:color w:val="000000"/>
          <w:sz w:val="28"/>
          <w:szCs w:val="28"/>
        </w:rPr>
        <w:t xml:space="preserve">        </w:t>
      </w:r>
      <w:r>
        <w:rPr>
          <w:rFonts w:hint="eastAsia"/>
          <w:color w:val="000000"/>
          <w:sz w:val="28"/>
          <w:szCs w:val="28"/>
        </w:rPr>
        <w:t>作者签名：</w:t>
      </w:r>
      <w:r>
        <w:rPr>
          <w:rFonts w:hint="eastAsia"/>
          <w:color w:val="7F7F7F"/>
        </w:rPr>
        <w:t>（手写签名）</w:t>
      </w:r>
      <w:r>
        <w:rPr>
          <w:rFonts w:hint="eastAsia"/>
          <w:color w:val="000000"/>
          <w:sz w:val="28"/>
          <w:szCs w:val="28"/>
        </w:rPr>
        <w:t xml:space="preserve">        </w:t>
      </w:r>
      <w:r>
        <w:rPr>
          <w:color w:val="000000"/>
          <w:sz w:val="28"/>
          <w:szCs w:val="28"/>
        </w:rPr>
        <w:t>2026</w:t>
      </w:r>
      <w:r>
        <w:rPr>
          <w:rFonts w:hint="eastAsia"/>
          <w:color w:val="000000"/>
          <w:sz w:val="28"/>
          <w:szCs w:val="28"/>
        </w:rPr>
        <w:t>年</w:t>
      </w:r>
      <w:r w:rsidR="00342586">
        <w:rPr>
          <w:rFonts w:hint="eastAsia"/>
          <w:color w:val="000000"/>
          <w:sz w:val="28"/>
          <w:szCs w:val="28"/>
        </w:rPr>
        <w:t>6</w:t>
      </w:r>
      <w:r>
        <w:rPr>
          <w:rFonts w:hint="eastAsia"/>
          <w:color w:val="000000"/>
          <w:sz w:val="28"/>
          <w:szCs w:val="28"/>
        </w:rPr>
        <w:t>月</w:t>
      </w:r>
      <w:r w:rsidR="00342586">
        <w:rPr>
          <w:rFonts w:hint="eastAsia"/>
          <w:color w:val="000000"/>
          <w:sz w:val="28"/>
          <w:szCs w:val="28"/>
        </w:rPr>
        <w:t>25</w:t>
      </w:r>
      <w:r>
        <w:rPr>
          <w:rFonts w:hint="eastAsia"/>
          <w:color w:val="000000"/>
          <w:sz w:val="28"/>
          <w:szCs w:val="28"/>
        </w:rPr>
        <w:t xml:space="preserve"> </w:t>
      </w:r>
      <w:r>
        <w:rPr>
          <w:rFonts w:hint="eastAsia"/>
          <w:color w:val="000000"/>
          <w:sz w:val="28"/>
          <w:szCs w:val="28"/>
        </w:rPr>
        <w:t>日</w:t>
      </w:r>
    </w:p>
    <w:p w14:paraId="6990B3CD" w14:textId="689BFE12" w:rsidR="007539B4" w:rsidRDefault="00000000" w:rsidP="00342586">
      <w:pPr>
        <w:ind w:right="560" w:firstLineChars="500" w:firstLine="1400"/>
        <w:jc w:val="right"/>
        <w:rPr>
          <w:color w:val="000000"/>
          <w:sz w:val="28"/>
          <w:szCs w:val="28"/>
        </w:rPr>
      </w:pPr>
      <w:r>
        <w:rPr>
          <w:rFonts w:hint="eastAsia"/>
          <w:color w:val="000000"/>
          <w:sz w:val="28"/>
          <w:szCs w:val="28"/>
        </w:rPr>
        <w:t>指导教师签名：</w:t>
      </w:r>
      <w:r>
        <w:rPr>
          <w:rFonts w:hint="eastAsia"/>
          <w:color w:val="7E7E7E"/>
        </w:rPr>
        <w:t>（双导师手写签名）</w:t>
      </w:r>
      <w:r w:rsidRPr="0015383B">
        <w:rPr>
          <w:color w:val="000000"/>
          <w:sz w:val="28"/>
          <w:szCs w:val="28"/>
        </w:rPr>
        <w:t>2026</w:t>
      </w:r>
      <w:r>
        <w:rPr>
          <w:rFonts w:hint="eastAsia"/>
          <w:color w:val="000000"/>
          <w:sz w:val="28"/>
          <w:szCs w:val="28"/>
        </w:rPr>
        <w:t>年</w:t>
      </w:r>
      <w:r w:rsidR="00342586">
        <w:rPr>
          <w:rFonts w:hint="eastAsia"/>
          <w:color w:val="000000"/>
          <w:sz w:val="28"/>
          <w:szCs w:val="28"/>
        </w:rPr>
        <w:t>6</w:t>
      </w:r>
      <w:r>
        <w:rPr>
          <w:rFonts w:hint="eastAsia"/>
          <w:color w:val="000000"/>
          <w:sz w:val="28"/>
          <w:szCs w:val="28"/>
        </w:rPr>
        <w:t>月</w:t>
      </w:r>
      <w:r w:rsidR="00342586">
        <w:rPr>
          <w:rFonts w:hint="eastAsia"/>
          <w:color w:val="000000"/>
          <w:sz w:val="28"/>
          <w:szCs w:val="28"/>
        </w:rPr>
        <w:t>25</w:t>
      </w:r>
      <w:r>
        <w:rPr>
          <w:rFonts w:hint="eastAsia"/>
          <w:color w:val="000000"/>
          <w:sz w:val="28"/>
          <w:szCs w:val="28"/>
        </w:rPr>
        <w:t xml:space="preserve"> </w:t>
      </w:r>
      <w:r>
        <w:rPr>
          <w:rFonts w:hint="eastAsia"/>
          <w:color w:val="000000"/>
          <w:sz w:val="28"/>
          <w:szCs w:val="28"/>
        </w:rPr>
        <w:t>日</w:t>
      </w:r>
    </w:p>
    <w:p w14:paraId="6D20862F" w14:textId="77777777" w:rsidR="007539B4" w:rsidRDefault="007539B4" w:rsidP="00342586">
      <w:pPr>
        <w:ind w:right="560"/>
        <w:rPr>
          <w:color w:val="000000"/>
        </w:rPr>
        <w:sectPr w:rsidR="007539B4" w:rsidSect="0015383B">
          <w:pgSz w:w="11906" w:h="16838"/>
          <w:pgMar w:top="1440" w:right="1558" w:bottom="1440" w:left="1797" w:header="851" w:footer="992" w:gutter="0"/>
          <w:pgNumType w:fmt="upperRoman" w:start="1"/>
          <w:cols w:space="720"/>
          <w:docGrid w:type="lines" w:linePitch="312"/>
        </w:sectPr>
      </w:pPr>
    </w:p>
    <w:p w14:paraId="0734CCF5" w14:textId="1D1B3E35" w:rsidR="00342586" w:rsidRDefault="00000000" w:rsidP="00342586">
      <w:pPr>
        <w:spacing w:line="360" w:lineRule="auto"/>
        <w:jc w:val="center"/>
        <w:rPr>
          <w:rFonts w:ascii="黑体" w:eastAsia="黑体"/>
          <w:color w:val="000000"/>
          <w:sz w:val="36"/>
          <w:szCs w:val="36"/>
        </w:rPr>
      </w:pPr>
      <w:r>
        <w:rPr>
          <w:rFonts w:ascii="黑体" w:eastAsia="黑体"/>
          <w:color w:val="000000"/>
          <w:sz w:val="36"/>
          <w:szCs w:val="36"/>
        </w:rPr>
        <w:lastRenderedPageBreak/>
        <w:t>目录</w:t>
      </w:r>
    </w:p>
    <w:sdt>
      <w:sdtPr>
        <w:rPr>
          <w:noProof w:val="0"/>
          <w:sz w:val="24"/>
          <w:szCs w:val="24"/>
        </w:rPr>
        <w:alias w:val="目录"/>
        <w:id w:val="-1958244363"/>
      </w:sdtPr>
      <w:sdtContent>
        <w:p w14:paraId="15F46B46" w14:textId="6A37E4B0" w:rsidR="00FF0121" w:rsidRPr="00AA5D6E" w:rsidRDefault="00342586" w:rsidP="00AA5D6E">
          <w:pPr>
            <w:pStyle w:val="TOC1"/>
            <w:rPr>
              <w:rFonts w:asciiTheme="minorHAnsi" w:eastAsiaTheme="minorEastAsia" w:hAnsiTheme="minorHAnsi" w:cstheme="minorBidi" w:hint="eastAsia"/>
              <w:kern w:val="2"/>
              <w14:ligatures w14:val="standardContextual"/>
            </w:rPr>
          </w:pPr>
          <w:r>
            <w:fldChar w:fldCharType="begin"/>
          </w:r>
          <w:r>
            <w:instrText>TOC \h \o "1-3"</w:instrText>
          </w:r>
          <w:r>
            <w:fldChar w:fldCharType="separate"/>
          </w:r>
          <w:hyperlink w:anchor="_Toc233276437" w:history="1">
            <w:r w:rsidR="00FF0121" w:rsidRPr="00AA5D6E">
              <w:rPr>
                <w:rStyle w:val="a6"/>
                <w:rFonts w:hint="eastAsia"/>
              </w:rPr>
              <w:t>1</w:t>
            </w:r>
            <w:r w:rsidR="00FF0121" w:rsidRPr="00AA5D6E">
              <w:rPr>
                <w:rStyle w:val="a6"/>
                <w:rFonts w:hint="eastAsia"/>
              </w:rPr>
              <w:t xml:space="preserve">　引言</w:t>
            </w:r>
            <w:r w:rsidR="00FF0121" w:rsidRPr="00AA5D6E">
              <w:rPr>
                <w:rFonts w:hint="eastAsia"/>
              </w:rPr>
              <w:tab/>
            </w:r>
            <w:r w:rsidR="00FF0121" w:rsidRPr="00AA5D6E">
              <w:rPr>
                <w:rFonts w:hint="eastAsia"/>
              </w:rPr>
              <w:fldChar w:fldCharType="begin"/>
            </w:r>
            <w:r w:rsidR="00FF0121" w:rsidRPr="00AA5D6E">
              <w:rPr>
                <w:rFonts w:hint="eastAsia"/>
              </w:rPr>
              <w:instrText xml:space="preserve"> </w:instrText>
            </w:r>
            <w:r w:rsidR="00FF0121" w:rsidRPr="00AA5D6E">
              <w:instrText>PAGEREF _Toc233276437 \h</w:instrText>
            </w:r>
            <w:r w:rsidR="00FF0121" w:rsidRPr="00AA5D6E">
              <w:rPr>
                <w:rFonts w:hint="eastAsia"/>
              </w:rPr>
              <w:instrText xml:space="preserve"> </w:instrText>
            </w:r>
            <w:r w:rsidR="00FF0121" w:rsidRPr="00AA5D6E">
              <w:rPr>
                <w:rFonts w:hint="eastAsia"/>
              </w:rPr>
            </w:r>
            <w:r w:rsidR="00FF0121" w:rsidRPr="00AA5D6E">
              <w:rPr>
                <w:rFonts w:hint="eastAsia"/>
              </w:rPr>
              <w:fldChar w:fldCharType="separate"/>
            </w:r>
            <w:r w:rsidR="00FF0121" w:rsidRPr="00AA5D6E">
              <w:rPr>
                <w:rFonts w:hint="eastAsia"/>
              </w:rPr>
              <w:t>1</w:t>
            </w:r>
            <w:r w:rsidR="00FF0121" w:rsidRPr="00AA5D6E">
              <w:rPr>
                <w:rFonts w:hint="eastAsia"/>
              </w:rPr>
              <w:fldChar w:fldCharType="end"/>
            </w:r>
          </w:hyperlink>
        </w:p>
        <w:p w14:paraId="5CC429E7" w14:textId="30BD3D6A"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38" w:history="1">
            <w:r w:rsidR="00FF0121" w:rsidRPr="00B358F6">
              <w:rPr>
                <w:rStyle w:val="a6"/>
                <w:rFonts w:hint="eastAsia"/>
                <w:noProof/>
              </w:rPr>
              <w:t>1.1</w:t>
            </w:r>
            <w:r w:rsidR="00FF0121" w:rsidRPr="00B358F6">
              <w:rPr>
                <w:rStyle w:val="a6"/>
                <w:rFonts w:hint="eastAsia"/>
                <w:noProof/>
              </w:rPr>
              <w:t xml:space="preserve">　研究背景与意义</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_Toc233276438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1</w:t>
            </w:r>
            <w:r w:rsidR="00FF0121">
              <w:rPr>
                <w:rFonts w:hint="eastAsia"/>
                <w:noProof/>
              </w:rPr>
              <w:fldChar w:fldCharType="end"/>
            </w:r>
          </w:hyperlink>
        </w:p>
        <w:p w14:paraId="6C887C13" w14:textId="5BE9A51A"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39" w:history="1">
            <w:r w:rsidR="00FF0121" w:rsidRPr="00B358F6">
              <w:rPr>
                <w:rStyle w:val="a6"/>
                <w:rFonts w:hint="eastAsia"/>
                <w:noProof/>
              </w:rPr>
              <w:t>1.2</w:t>
            </w:r>
            <w:r w:rsidR="00FF0121" w:rsidRPr="00B358F6">
              <w:rPr>
                <w:rStyle w:val="a6"/>
                <w:rFonts w:hint="eastAsia"/>
                <w:noProof/>
              </w:rPr>
              <w:t xml:space="preserve">　国内外研究现状</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_Toc233276439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1</w:t>
            </w:r>
            <w:r w:rsidR="00FF0121">
              <w:rPr>
                <w:rFonts w:hint="eastAsia"/>
                <w:noProof/>
              </w:rPr>
              <w:fldChar w:fldCharType="end"/>
            </w:r>
          </w:hyperlink>
        </w:p>
        <w:p w14:paraId="4B0CDA17" w14:textId="3B8BA7F3"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40" w:history="1">
            <w:r w:rsidR="00FF0121" w:rsidRPr="00B358F6">
              <w:rPr>
                <w:rStyle w:val="a6"/>
                <w:rFonts w:hint="eastAsia"/>
                <w:noProof/>
              </w:rPr>
              <w:t>1.3</w:t>
            </w:r>
            <w:r w:rsidR="00FF0121" w:rsidRPr="00B358F6">
              <w:rPr>
                <w:rStyle w:val="a6"/>
                <w:rFonts w:hint="eastAsia"/>
                <w:noProof/>
              </w:rPr>
              <w:t xml:space="preserve">　研究内容与方法</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_Toc233276440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2</w:t>
            </w:r>
            <w:r w:rsidR="00FF0121">
              <w:rPr>
                <w:rFonts w:hint="eastAsia"/>
                <w:noProof/>
              </w:rPr>
              <w:fldChar w:fldCharType="end"/>
            </w:r>
          </w:hyperlink>
        </w:p>
        <w:p w14:paraId="4717817E" w14:textId="1423C433"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41" w:history="1">
            <w:r w:rsidR="00FF0121" w:rsidRPr="00B358F6">
              <w:rPr>
                <w:rStyle w:val="a6"/>
                <w:rFonts w:hint="eastAsia"/>
                <w:noProof/>
              </w:rPr>
              <w:t>1.4</w:t>
            </w:r>
            <w:r w:rsidR="00FF0121" w:rsidRPr="00B358F6">
              <w:rPr>
                <w:rStyle w:val="a6"/>
                <w:rFonts w:hint="eastAsia"/>
                <w:noProof/>
              </w:rPr>
              <w:t xml:space="preserve">　论文结构安排</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_Toc233276441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2</w:t>
            </w:r>
            <w:r w:rsidR="00FF0121">
              <w:rPr>
                <w:rFonts w:hint="eastAsia"/>
                <w:noProof/>
              </w:rPr>
              <w:fldChar w:fldCharType="end"/>
            </w:r>
          </w:hyperlink>
        </w:p>
        <w:p w14:paraId="6BCF9025" w14:textId="219186F5" w:rsidR="00FF0121" w:rsidRPr="00AA5D6E" w:rsidRDefault="00000000" w:rsidP="00AA5D6E">
          <w:pPr>
            <w:pStyle w:val="TOC1"/>
            <w:rPr>
              <w:rFonts w:asciiTheme="minorHAnsi" w:eastAsiaTheme="minorEastAsia" w:hAnsiTheme="minorHAnsi" w:cstheme="minorBidi" w:hint="eastAsia"/>
              <w:kern w:val="2"/>
              <w:sz w:val="24"/>
              <w14:ligatures w14:val="standardContextual"/>
            </w:rPr>
          </w:pPr>
          <w:hyperlink w:anchor="_Toc233276442" w:history="1">
            <w:r w:rsidR="00FF0121" w:rsidRPr="00AA5D6E">
              <w:rPr>
                <w:rStyle w:val="a6"/>
                <w:rFonts w:hint="eastAsia"/>
              </w:rPr>
              <w:t>2</w:t>
            </w:r>
            <w:r w:rsidR="00FF0121" w:rsidRPr="00AA5D6E">
              <w:rPr>
                <w:rStyle w:val="a6"/>
                <w:rFonts w:hint="eastAsia"/>
              </w:rPr>
              <w:t xml:space="preserve">　数据可视化设计原则</w:t>
            </w:r>
            <w:r w:rsidR="00FF0121" w:rsidRPr="00AA5D6E">
              <w:rPr>
                <w:rFonts w:hint="eastAsia"/>
              </w:rPr>
              <w:tab/>
            </w:r>
            <w:r w:rsidR="00FF0121" w:rsidRPr="00AA5D6E">
              <w:rPr>
                <w:rFonts w:hint="eastAsia"/>
              </w:rPr>
              <w:fldChar w:fldCharType="begin"/>
            </w:r>
            <w:r w:rsidR="00FF0121" w:rsidRPr="00AA5D6E">
              <w:rPr>
                <w:rFonts w:hint="eastAsia"/>
              </w:rPr>
              <w:instrText xml:space="preserve"> </w:instrText>
            </w:r>
            <w:r w:rsidR="00FF0121" w:rsidRPr="00AA5D6E">
              <w:instrText>PAGEREF _Toc233276442 \h</w:instrText>
            </w:r>
            <w:r w:rsidR="00FF0121" w:rsidRPr="00AA5D6E">
              <w:rPr>
                <w:rFonts w:hint="eastAsia"/>
              </w:rPr>
              <w:instrText xml:space="preserve"> </w:instrText>
            </w:r>
            <w:r w:rsidR="00FF0121" w:rsidRPr="00AA5D6E">
              <w:rPr>
                <w:rFonts w:hint="eastAsia"/>
              </w:rPr>
            </w:r>
            <w:r w:rsidR="00FF0121" w:rsidRPr="00AA5D6E">
              <w:rPr>
                <w:rFonts w:hint="eastAsia"/>
              </w:rPr>
              <w:fldChar w:fldCharType="separate"/>
            </w:r>
            <w:r w:rsidR="00FF0121" w:rsidRPr="00AA5D6E">
              <w:rPr>
                <w:rFonts w:hint="eastAsia"/>
              </w:rPr>
              <w:t>2</w:t>
            </w:r>
            <w:r w:rsidR="00FF0121" w:rsidRPr="00AA5D6E">
              <w:rPr>
                <w:rFonts w:hint="eastAsia"/>
              </w:rPr>
              <w:fldChar w:fldCharType="end"/>
            </w:r>
          </w:hyperlink>
        </w:p>
        <w:p w14:paraId="14D9BF53" w14:textId="5BDAD0E5"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43" w:history="1">
            <w:r w:rsidR="00FF0121" w:rsidRPr="00B358F6">
              <w:rPr>
                <w:rStyle w:val="a6"/>
                <w:rFonts w:hint="eastAsia"/>
                <w:noProof/>
              </w:rPr>
              <w:t>2.1</w:t>
            </w:r>
            <w:r w:rsidR="00FF0121" w:rsidRPr="00B358F6">
              <w:rPr>
                <w:rStyle w:val="a6"/>
                <w:rFonts w:hint="eastAsia"/>
                <w:noProof/>
              </w:rPr>
              <w:t xml:space="preserve">　数据可视化的认知基础</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_Toc233276443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2</w:t>
            </w:r>
            <w:r w:rsidR="00FF0121">
              <w:rPr>
                <w:rFonts w:hint="eastAsia"/>
                <w:noProof/>
              </w:rPr>
              <w:fldChar w:fldCharType="end"/>
            </w:r>
          </w:hyperlink>
        </w:p>
        <w:p w14:paraId="008D8B94" w14:textId="55A7CF5F"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44" w:history="1">
            <w:r w:rsidR="00FF0121" w:rsidRPr="00B358F6">
              <w:rPr>
                <w:rStyle w:val="a6"/>
                <w:rFonts w:hint="eastAsia"/>
                <w:noProof/>
              </w:rPr>
              <w:t>2.2</w:t>
            </w:r>
            <w:r w:rsidR="00FF0121" w:rsidRPr="00B358F6">
              <w:rPr>
                <w:rStyle w:val="a6"/>
                <w:rFonts w:hint="eastAsia"/>
                <w:noProof/>
              </w:rPr>
              <w:t xml:space="preserve">　可视化设计四大核心原则</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_Toc233276444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2</w:t>
            </w:r>
            <w:r w:rsidR="00FF0121">
              <w:rPr>
                <w:rFonts w:hint="eastAsia"/>
                <w:noProof/>
              </w:rPr>
              <w:fldChar w:fldCharType="end"/>
            </w:r>
          </w:hyperlink>
        </w:p>
        <w:p w14:paraId="513057A0" w14:textId="30167709" w:rsidR="00FF0121" w:rsidRDefault="00000000">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33276445" w:history="1">
            <w:r w:rsidR="00FF0121" w:rsidRPr="00B358F6">
              <w:rPr>
                <w:rStyle w:val="a6"/>
                <w:rFonts w:hint="eastAsia"/>
                <w:noProof/>
              </w:rPr>
              <w:t>2.2.1</w:t>
            </w:r>
            <w:r w:rsidR="00FF0121" w:rsidRPr="00B358F6">
              <w:rPr>
                <w:rStyle w:val="a6"/>
                <w:rFonts w:hint="eastAsia"/>
                <w:noProof/>
              </w:rPr>
              <w:t xml:space="preserve">　准确性原则</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_Toc233276445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3</w:t>
            </w:r>
            <w:r w:rsidR="00FF0121">
              <w:rPr>
                <w:rFonts w:hint="eastAsia"/>
                <w:noProof/>
              </w:rPr>
              <w:fldChar w:fldCharType="end"/>
            </w:r>
          </w:hyperlink>
        </w:p>
        <w:p w14:paraId="469E6B12" w14:textId="269C9A3C" w:rsidR="00FF0121" w:rsidRDefault="00000000">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33276446" w:history="1">
            <w:r w:rsidR="00FF0121" w:rsidRPr="00B358F6">
              <w:rPr>
                <w:rStyle w:val="a6"/>
                <w:rFonts w:hint="eastAsia"/>
                <w:noProof/>
              </w:rPr>
              <w:t>2.2.2</w:t>
            </w:r>
            <w:r w:rsidR="00FF0121" w:rsidRPr="00B358F6">
              <w:rPr>
                <w:rStyle w:val="a6"/>
                <w:rFonts w:hint="eastAsia"/>
                <w:noProof/>
              </w:rPr>
              <w:t xml:space="preserve">　清晰性原则</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_Toc233276446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3</w:t>
            </w:r>
            <w:r w:rsidR="00FF0121">
              <w:rPr>
                <w:rFonts w:hint="eastAsia"/>
                <w:noProof/>
              </w:rPr>
              <w:fldChar w:fldCharType="end"/>
            </w:r>
          </w:hyperlink>
        </w:p>
        <w:p w14:paraId="467E5D97" w14:textId="3F89BAAE" w:rsidR="00FF0121" w:rsidRDefault="00000000">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33276447" w:history="1">
            <w:r w:rsidR="00FF0121" w:rsidRPr="00B358F6">
              <w:rPr>
                <w:rStyle w:val="a6"/>
                <w:rFonts w:hint="eastAsia"/>
                <w:noProof/>
              </w:rPr>
              <w:t>2.2.3</w:t>
            </w:r>
            <w:r w:rsidR="00FF0121" w:rsidRPr="00B358F6">
              <w:rPr>
                <w:rStyle w:val="a6"/>
                <w:rFonts w:hint="eastAsia"/>
                <w:noProof/>
              </w:rPr>
              <w:t xml:space="preserve">　有效性原则</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_Toc233276447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3</w:t>
            </w:r>
            <w:r w:rsidR="00FF0121">
              <w:rPr>
                <w:rFonts w:hint="eastAsia"/>
                <w:noProof/>
              </w:rPr>
              <w:fldChar w:fldCharType="end"/>
            </w:r>
          </w:hyperlink>
        </w:p>
        <w:p w14:paraId="78D951B4" w14:textId="0D2A2F2F" w:rsidR="00FF0121" w:rsidRDefault="00000000">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33276448" w:history="1">
            <w:r w:rsidR="00FF0121" w:rsidRPr="00B358F6">
              <w:rPr>
                <w:rStyle w:val="a6"/>
                <w:rFonts w:hint="eastAsia"/>
                <w:noProof/>
              </w:rPr>
              <w:t>2.2.4</w:t>
            </w:r>
            <w:r w:rsidR="00FF0121" w:rsidRPr="00B358F6">
              <w:rPr>
                <w:rStyle w:val="a6"/>
                <w:rFonts w:hint="eastAsia"/>
                <w:noProof/>
              </w:rPr>
              <w:t xml:space="preserve">　美观性原则</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_Toc233276448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3</w:t>
            </w:r>
            <w:r w:rsidR="00FF0121">
              <w:rPr>
                <w:rFonts w:hint="eastAsia"/>
                <w:noProof/>
              </w:rPr>
              <w:fldChar w:fldCharType="end"/>
            </w:r>
          </w:hyperlink>
        </w:p>
        <w:p w14:paraId="44205D27" w14:textId="3897B103"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49" w:history="1">
            <w:r w:rsidR="00FF0121" w:rsidRPr="00B358F6">
              <w:rPr>
                <w:rStyle w:val="a6"/>
                <w:rFonts w:hint="eastAsia"/>
                <w:noProof/>
              </w:rPr>
              <w:t>2.3</w:t>
            </w:r>
            <w:r w:rsidR="00FF0121" w:rsidRPr="00B358F6">
              <w:rPr>
                <w:rStyle w:val="a6"/>
                <w:rFonts w:hint="eastAsia"/>
                <w:noProof/>
              </w:rPr>
              <w:t xml:space="preserve">　常见可视化误区与规避策略</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_Toc233276449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3</w:t>
            </w:r>
            <w:r w:rsidR="00FF0121">
              <w:rPr>
                <w:rFonts w:hint="eastAsia"/>
                <w:noProof/>
              </w:rPr>
              <w:fldChar w:fldCharType="end"/>
            </w:r>
          </w:hyperlink>
        </w:p>
        <w:p w14:paraId="28A27743" w14:textId="72C902CD" w:rsidR="00FF0121" w:rsidRDefault="00000000" w:rsidP="00AA5D6E">
          <w:pPr>
            <w:pStyle w:val="TOC1"/>
            <w:rPr>
              <w:rFonts w:asciiTheme="minorHAnsi" w:eastAsiaTheme="minorEastAsia" w:hAnsiTheme="minorHAnsi" w:cstheme="minorBidi" w:hint="eastAsia"/>
              <w:kern w:val="2"/>
              <w:sz w:val="22"/>
              <w14:ligatures w14:val="standardContextual"/>
            </w:rPr>
          </w:pPr>
          <w:hyperlink w:anchor="_Toc233276450" w:history="1">
            <w:r w:rsidR="00FF0121" w:rsidRPr="00B358F6">
              <w:rPr>
                <w:rStyle w:val="a6"/>
                <w:rFonts w:hint="eastAsia"/>
              </w:rPr>
              <w:t>3</w:t>
            </w:r>
            <w:r w:rsidR="00FF0121" w:rsidRPr="00B358F6">
              <w:rPr>
                <w:rStyle w:val="a6"/>
                <w:rFonts w:hint="eastAsia"/>
              </w:rPr>
              <w:t xml:space="preserve">　</w:t>
            </w:r>
            <w:r w:rsidR="00FF0121" w:rsidRPr="00B358F6">
              <w:rPr>
                <w:rStyle w:val="a6"/>
                <w:rFonts w:hint="eastAsia"/>
              </w:rPr>
              <w:t>Python</w:t>
            </w:r>
            <w:r w:rsidR="00FF0121" w:rsidRPr="00B358F6">
              <w:rPr>
                <w:rStyle w:val="a6"/>
                <w:rFonts w:hint="eastAsia"/>
              </w:rPr>
              <w:t>三大可视化库对比分析</w:t>
            </w:r>
            <w:r w:rsidR="00FF0121">
              <w:rPr>
                <w:rFonts w:hint="eastAsia"/>
              </w:rPr>
              <w:tab/>
            </w:r>
            <w:r w:rsidR="00FF0121">
              <w:rPr>
                <w:rFonts w:hint="eastAsia"/>
              </w:rPr>
              <w:fldChar w:fldCharType="begin"/>
            </w:r>
            <w:r w:rsidR="00FF0121">
              <w:rPr>
                <w:rFonts w:hint="eastAsia"/>
              </w:rPr>
              <w:instrText xml:space="preserve"> </w:instrText>
            </w:r>
            <w:r w:rsidR="00FF0121">
              <w:instrText>PAGEREF _Toc233276450 \h</w:instrText>
            </w:r>
            <w:r w:rsidR="00FF0121">
              <w:rPr>
                <w:rFonts w:hint="eastAsia"/>
              </w:rPr>
              <w:instrText xml:space="preserve"> </w:instrText>
            </w:r>
            <w:r w:rsidR="00FF0121">
              <w:rPr>
                <w:rFonts w:hint="eastAsia"/>
              </w:rPr>
            </w:r>
            <w:r w:rsidR="00FF0121">
              <w:rPr>
                <w:rFonts w:hint="eastAsia"/>
              </w:rPr>
              <w:fldChar w:fldCharType="separate"/>
            </w:r>
            <w:r w:rsidR="00FF0121">
              <w:rPr>
                <w:rFonts w:hint="eastAsia"/>
              </w:rPr>
              <w:t>4</w:t>
            </w:r>
            <w:r w:rsidR="00FF0121">
              <w:rPr>
                <w:rFonts w:hint="eastAsia"/>
              </w:rPr>
              <w:fldChar w:fldCharType="end"/>
            </w:r>
          </w:hyperlink>
        </w:p>
        <w:p w14:paraId="7BC613DD" w14:textId="4EF0A6F9"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51" w:history="1">
            <w:r w:rsidR="00FF0121" w:rsidRPr="00B358F6">
              <w:rPr>
                <w:rStyle w:val="a6"/>
                <w:rFonts w:hint="eastAsia"/>
                <w:noProof/>
              </w:rPr>
              <w:t>3.1</w:t>
            </w:r>
            <w:r w:rsidR="00FF0121" w:rsidRPr="00B358F6">
              <w:rPr>
                <w:rStyle w:val="a6"/>
                <w:rFonts w:hint="eastAsia"/>
                <w:noProof/>
              </w:rPr>
              <w:t xml:space="preserve">　</w:t>
            </w:r>
            <w:r w:rsidR="00FF0121" w:rsidRPr="00B358F6">
              <w:rPr>
                <w:rStyle w:val="a6"/>
                <w:rFonts w:hint="eastAsia"/>
                <w:noProof/>
              </w:rPr>
              <w:t>Matplotlib</w:t>
            </w:r>
            <w:r w:rsidR="00FF0121" w:rsidRPr="00B358F6">
              <w:rPr>
                <w:rStyle w:val="a6"/>
                <w:rFonts w:hint="eastAsia"/>
                <w:noProof/>
              </w:rPr>
              <w:t>：基础绘图引擎</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_Toc233276451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4</w:t>
            </w:r>
            <w:r w:rsidR="00FF0121">
              <w:rPr>
                <w:rFonts w:hint="eastAsia"/>
                <w:noProof/>
              </w:rPr>
              <w:fldChar w:fldCharType="end"/>
            </w:r>
          </w:hyperlink>
        </w:p>
        <w:p w14:paraId="78F4ECE8" w14:textId="12D5879D"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52" w:history="1">
            <w:r w:rsidR="00FF0121" w:rsidRPr="00B358F6">
              <w:rPr>
                <w:rStyle w:val="a6"/>
                <w:rFonts w:hint="eastAsia"/>
                <w:noProof/>
              </w:rPr>
              <w:t>3.2</w:t>
            </w:r>
            <w:r w:rsidR="00FF0121" w:rsidRPr="00B358F6">
              <w:rPr>
                <w:rStyle w:val="a6"/>
                <w:rFonts w:hint="eastAsia"/>
                <w:noProof/>
              </w:rPr>
              <w:t xml:space="preserve">　</w:t>
            </w:r>
            <w:r w:rsidR="00FF0121" w:rsidRPr="00B358F6">
              <w:rPr>
                <w:rStyle w:val="a6"/>
                <w:rFonts w:hint="eastAsia"/>
                <w:noProof/>
              </w:rPr>
              <w:t>Seaborn</w:t>
            </w:r>
            <w:r w:rsidR="00FF0121" w:rsidRPr="00B358F6">
              <w:rPr>
                <w:rStyle w:val="a6"/>
                <w:rFonts w:hint="eastAsia"/>
                <w:noProof/>
              </w:rPr>
              <w:t>：统计可视化利器</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_Toc233276452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5</w:t>
            </w:r>
            <w:r w:rsidR="00FF0121">
              <w:rPr>
                <w:rFonts w:hint="eastAsia"/>
                <w:noProof/>
              </w:rPr>
              <w:fldChar w:fldCharType="end"/>
            </w:r>
          </w:hyperlink>
        </w:p>
        <w:p w14:paraId="67318893" w14:textId="4157EF09"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53" w:history="1">
            <w:r w:rsidR="00FF0121" w:rsidRPr="00B358F6">
              <w:rPr>
                <w:rStyle w:val="a6"/>
                <w:rFonts w:hint="eastAsia"/>
                <w:noProof/>
              </w:rPr>
              <w:t>3.3</w:t>
            </w:r>
            <w:r w:rsidR="00FF0121" w:rsidRPr="00B358F6">
              <w:rPr>
                <w:rStyle w:val="a6"/>
                <w:rFonts w:hint="eastAsia"/>
                <w:noProof/>
              </w:rPr>
              <w:t xml:space="preserve">　</w:t>
            </w:r>
            <w:r w:rsidR="00FF0121" w:rsidRPr="00B358F6">
              <w:rPr>
                <w:rStyle w:val="a6"/>
                <w:rFonts w:hint="eastAsia"/>
                <w:noProof/>
              </w:rPr>
              <w:t>Pyecharts</w:t>
            </w:r>
            <w:r w:rsidR="00FF0121" w:rsidRPr="00B358F6">
              <w:rPr>
                <w:rStyle w:val="a6"/>
                <w:rFonts w:hint="eastAsia"/>
                <w:noProof/>
              </w:rPr>
              <w:t>：交互式</w:t>
            </w:r>
            <w:r w:rsidR="00FF0121" w:rsidRPr="00B358F6">
              <w:rPr>
                <w:rStyle w:val="a6"/>
                <w:rFonts w:hint="eastAsia"/>
                <w:noProof/>
              </w:rPr>
              <w:t>Web</w:t>
            </w:r>
            <w:r w:rsidR="00FF0121" w:rsidRPr="00B358F6">
              <w:rPr>
                <w:rStyle w:val="a6"/>
                <w:rFonts w:hint="eastAsia"/>
                <w:noProof/>
              </w:rPr>
              <w:t>图表</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_Toc233276453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6</w:t>
            </w:r>
            <w:r w:rsidR="00FF0121">
              <w:rPr>
                <w:rFonts w:hint="eastAsia"/>
                <w:noProof/>
              </w:rPr>
              <w:fldChar w:fldCharType="end"/>
            </w:r>
          </w:hyperlink>
        </w:p>
        <w:p w14:paraId="725158D3" w14:textId="6ECC5645"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54" w:history="1">
            <w:r w:rsidR="00FF0121" w:rsidRPr="00B358F6">
              <w:rPr>
                <w:rStyle w:val="a6"/>
                <w:rFonts w:hint="eastAsia"/>
                <w:noProof/>
              </w:rPr>
              <w:t>3.4</w:t>
            </w:r>
            <w:r w:rsidR="00FF0121" w:rsidRPr="00B358F6">
              <w:rPr>
                <w:rStyle w:val="a6"/>
                <w:rFonts w:hint="eastAsia"/>
                <w:noProof/>
              </w:rPr>
              <w:t xml:space="preserve">　三大库综合对比</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_Toc233276454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7</w:t>
            </w:r>
            <w:r w:rsidR="00FF0121">
              <w:rPr>
                <w:rFonts w:hint="eastAsia"/>
                <w:noProof/>
              </w:rPr>
              <w:fldChar w:fldCharType="end"/>
            </w:r>
          </w:hyperlink>
        </w:p>
        <w:p w14:paraId="35C9864C" w14:textId="42C65AC3"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55" w:history="1">
            <w:r w:rsidR="00FF0121" w:rsidRPr="00B358F6">
              <w:rPr>
                <w:rStyle w:val="a6"/>
                <w:rFonts w:hint="eastAsia"/>
                <w:noProof/>
              </w:rPr>
              <w:t>3.5</w:t>
            </w:r>
            <w:r w:rsidR="00FF0121" w:rsidRPr="00B358F6">
              <w:rPr>
                <w:rStyle w:val="a6"/>
                <w:rFonts w:hint="eastAsia"/>
                <w:noProof/>
              </w:rPr>
              <w:t xml:space="preserve">　选型决策框架</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_Toc233276455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7</w:t>
            </w:r>
            <w:r w:rsidR="00FF0121">
              <w:rPr>
                <w:rFonts w:hint="eastAsia"/>
                <w:noProof/>
              </w:rPr>
              <w:fldChar w:fldCharType="end"/>
            </w:r>
          </w:hyperlink>
        </w:p>
        <w:p w14:paraId="0F31DDF7" w14:textId="739E8466" w:rsidR="00FF0121" w:rsidRDefault="00000000" w:rsidP="00AA5D6E">
          <w:pPr>
            <w:pStyle w:val="TOC1"/>
            <w:rPr>
              <w:rFonts w:asciiTheme="minorHAnsi" w:eastAsiaTheme="minorEastAsia" w:hAnsiTheme="minorHAnsi" w:cstheme="minorBidi" w:hint="eastAsia"/>
              <w:kern w:val="2"/>
              <w:sz w:val="22"/>
              <w14:ligatures w14:val="standardContextual"/>
            </w:rPr>
          </w:pPr>
          <w:hyperlink w:anchor="_Toc233276456" w:history="1">
            <w:r w:rsidR="00FF0121" w:rsidRPr="00B358F6">
              <w:rPr>
                <w:rStyle w:val="a6"/>
                <w:rFonts w:hint="eastAsia"/>
              </w:rPr>
              <w:t>4</w:t>
            </w:r>
            <w:r w:rsidR="00FF0121" w:rsidRPr="00B358F6">
              <w:rPr>
                <w:rStyle w:val="a6"/>
                <w:rFonts w:hint="eastAsia"/>
              </w:rPr>
              <w:t xml:space="preserve">　图表选择策略与指南</w:t>
            </w:r>
            <w:r w:rsidR="00FF0121">
              <w:rPr>
                <w:rFonts w:hint="eastAsia"/>
              </w:rPr>
              <w:tab/>
            </w:r>
            <w:r w:rsidR="00FF0121">
              <w:rPr>
                <w:rFonts w:hint="eastAsia"/>
              </w:rPr>
              <w:fldChar w:fldCharType="begin"/>
            </w:r>
            <w:r w:rsidR="00FF0121">
              <w:rPr>
                <w:rFonts w:hint="eastAsia"/>
              </w:rPr>
              <w:instrText xml:space="preserve"> </w:instrText>
            </w:r>
            <w:r w:rsidR="00FF0121">
              <w:instrText>PAGEREF _Toc233276456 \h</w:instrText>
            </w:r>
            <w:r w:rsidR="00FF0121">
              <w:rPr>
                <w:rFonts w:hint="eastAsia"/>
              </w:rPr>
              <w:instrText xml:space="preserve"> </w:instrText>
            </w:r>
            <w:r w:rsidR="00FF0121">
              <w:rPr>
                <w:rFonts w:hint="eastAsia"/>
              </w:rPr>
            </w:r>
            <w:r w:rsidR="00FF0121">
              <w:rPr>
                <w:rFonts w:hint="eastAsia"/>
              </w:rPr>
              <w:fldChar w:fldCharType="separate"/>
            </w:r>
            <w:r w:rsidR="00FF0121">
              <w:rPr>
                <w:rFonts w:hint="eastAsia"/>
              </w:rPr>
              <w:t>8</w:t>
            </w:r>
            <w:r w:rsidR="00FF0121">
              <w:rPr>
                <w:rFonts w:hint="eastAsia"/>
              </w:rPr>
              <w:fldChar w:fldCharType="end"/>
            </w:r>
          </w:hyperlink>
        </w:p>
        <w:p w14:paraId="071D03BB" w14:textId="40EFA2EC"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57" w:history="1">
            <w:r w:rsidR="00FF0121" w:rsidRPr="00B358F6">
              <w:rPr>
                <w:rStyle w:val="a6"/>
                <w:rFonts w:hint="eastAsia"/>
                <w:noProof/>
              </w:rPr>
              <w:t>4.1</w:t>
            </w:r>
            <w:r w:rsidR="00FF0121" w:rsidRPr="00B358F6">
              <w:rPr>
                <w:rStyle w:val="a6"/>
                <w:rFonts w:hint="eastAsia"/>
                <w:noProof/>
              </w:rPr>
              <w:t xml:space="preserve">　基于数据类型的图表选择</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_Toc233276457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8</w:t>
            </w:r>
            <w:r w:rsidR="00FF0121">
              <w:rPr>
                <w:rFonts w:hint="eastAsia"/>
                <w:noProof/>
              </w:rPr>
              <w:fldChar w:fldCharType="end"/>
            </w:r>
          </w:hyperlink>
        </w:p>
        <w:p w14:paraId="7F24DCD8" w14:textId="5DEDA879" w:rsidR="00FF0121" w:rsidRDefault="00000000">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33276458" w:history="1">
            <w:r w:rsidR="00FF0121" w:rsidRPr="00B358F6">
              <w:rPr>
                <w:rStyle w:val="a6"/>
                <w:rFonts w:hint="eastAsia"/>
                <w:noProof/>
              </w:rPr>
              <w:t>4.1.1</w:t>
            </w:r>
            <w:r w:rsidR="00FF0121" w:rsidRPr="00B358F6">
              <w:rPr>
                <w:rStyle w:val="a6"/>
                <w:rFonts w:hint="eastAsia"/>
                <w:noProof/>
              </w:rPr>
              <w:t xml:space="preserve">　单变量连续数据</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_Toc233276458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8</w:t>
            </w:r>
            <w:r w:rsidR="00FF0121">
              <w:rPr>
                <w:rFonts w:hint="eastAsia"/>
                <w:noProof/>
              </w:rPr>
              <w:fldChar w:fldCharType="end"/>
            </w:r>
          </w:hyperlink>
        </w:p>
        <w:p w14:paraId="44394859" w14:textId="64A17FF1" w:rsidR="00FF0121" w:rsidRDefault="00000000">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33276459" w:history="1">
            <w:r w:rsidR="00FF0121" w:rsidRPr="00B358F6">
              <w:rPr>
                <w:rStyle w:val="a6"/>
                <w:rFonts w:hint="eastAsia"/>
                <w:noProof/>
              </w:rPr>
              <w:t>4.1.2</w:t>
            </w:r>
            <w:r w:rsidR="00FF0121" w:rsidRPr="00B358F6">
              <w:rPr>
                <w:rStyle w:val="a6"/>
                <w:rFonts w:hint="eastAsia"/>
                <w:noProof/>
              </w:rPr>
              <w:t xml:space="preserve">　单变量分类数据</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_Toc233276459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8</w:t>
            </w:r>
            <w:r w:rsidR="00FF0121">
              <w:rPr>
                <w:rFonts w:hint="eastAsia"/>
                <w:noProof/>
              </w:rPr>
              <w:fldChar w:fldCharType="end"/>
            </w:r>
          </w:hyperlink>
        </w:p>
        <w:p w14:paraId="64995E2A" w14:textId="5213EDF2" w:rsidR="00FF0121" w:rsidRDefault="00000000">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33276460" w:history="1">
            <w:r w:rsidR="00FF0121" w:rsidRPr="00B358F6">
              <w:rPr>
                <w:rStyle w:val="a6"/>
                <w:rFonts w:hint="eastAsia"/>
                <w:noProof/>
              </w:rPr>
              <w:t>4.1.3</w:t>
            </w:r>
            <w:r w:rsidR="00FF0121" w:rsidRPr="00B358F6">
              <w:rPr>
                <w:rStyle w:val="a6"/>
                <w:rFonts w:hint="eastAsia"/>
                <w:noProof/>
              </w:rPr>
              <w:t xml:space="preserve">　双变量关系数据</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_Toc233276460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8</w:t>
            </w:r>
            <w:r w:rsidR="00FF0121">
              <w:rPr>
                <w:rFonts w:hint="eastAsia"/>
                <w:noProof/>
              </w:rPr>
              <w:fldChar w:fldCharType="end"/>
            </w:r>
          </w:hyperlink>
        </w:p>
        <w:p w14:paraId="6ABE574F" w14:textId="43239D77" w:rsidR="00FF0121" w:rsidRDefault="00000000">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33276461" w:history="1">
            <w:r w:rsidR="00FF0121" w:rsidRPr="00B358F6">
              <w:rPr>
                <w:rStyle w:val="a6"/>
                <w:rFonts w:hint="eastAsia"/>
                <w:noProof/>
              </w:rPr>
              <w:t>4.1.4</w:t>
            </w:r>
            <w:r w:rsidR="00FF0121" w:rsidRPr="00B358F6">
              <w:rPr>
                <w:rStyle w:val="a6"/>
                <w:rFonts w:hint="eastAsia"/>
                <w:noProof/>
              </w:rPr>
              <w:t xml:space="preserve">　多变量数据</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_Toc233276461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9</w:t>
            </w:r>
            <w:r w:rsidR="00FF0121">
              <w:rPr>
                <w:rFonts w:hint="eastAsia"/>
                <w:noProof/>
              </w:rPr>
              <w:fldChar w:fldCharType="end"/>
            </w:r>
          </w:hyperlink>
        </w:p>
        <w:p w14:paraId="23285AAD" w14:textId="1AD99E32"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62" w:history="1">
            <w:r w:rsidR="00FF0121" w:rsidRPr="00B358F6">
              <w:rPr>
                <w:rStyle w:val="a6"/>
                <w:rFonts w:hint="eastAsia"/>
                <w:noProof/>
              </w:rPr>
              <w:t>4.2</w:t>
            </w:r>
            <w:r w:rsidR="00FF0121" w:rsidRPr="00B358F6">
              <w:rPr>
                <w:rStyle w:val="a6"/>
                <w:rFonts w:hint="eastAsia"/>
                <w:noProof/>
              </w:rPr>
              <w:t xml:space="preserve">　基于分析目标的图表选择</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_Toc233276462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9</w:t>
            </w:r>
            <w:r w:rsidR="00FF0121">
              <w:rPr>
                <w:rFonts w:hint="eastAsia"/>
                <w:noProof/>
              </w:rPr>
              <w:fldChar w:fldCharType="end"/>
            </w:r>
          </w:hyperlink>
        </w:p>
        <w:p w14:paraId="5E2B64AE" w14:textId="5F0DA187"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63" w:history="1">
            <w:r w:rsidR="00FF0121" w:rsidRPr="00B358F6">
              <w:rPr>
                <w:rStyle w:val="a6"/>
                <w:rFonts w:hint="eastAsia"/>
                <w:noProof/>
              </w:rPr>
              <w:t>4.3</w:t>
            </w:r>
            <w:r w:rsidR="00FF0121" w:rsidRPr="00B358F6">
              <w:rPr>
                <w:rStyle w:val="a6"/>
                <w:rFonts w:hint="eastAsia"/>
                <w:noProof/>
              </w:rPr>
              <w:t xml:space="preserve">　颜色选择策略</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_Toc233276463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9</w:t>
            </w:r>
            <w:r w:rsidR="00FF0121">
              <w:rPr>
                <w:rFonts w:hint="eastAsia"/>
                <w:noProof/>
              </w:rPr>
              <w:fldChar w:fldCharType="end"/>
            </w:r>
          </w:hyperlink>
        </w:p>
        <w:p w14:paraId="41C24C24" w14:textId="597050BA" w:rsidR="00FF0121" w:rsidRDefault="00000000" w:rsidP="00AA5D6E">
          <w:pPr>
            <w:pStyle w:val="TOC1"/>
            <w:rPr>
              <w:rFonts w:asciiTheme="minorHAnsi" w:eastAsiaTheme="minorEastAsia" w:hAnsiTheme="minorHAnsi" w:cstheme="minorBidi" w:hint="eastAsia"/>
              <w:kern w:val="2"/>
              <w:sz w:val="22"/>
              <w14:ligatures w14:val="standardContextual"/>
            </w:rPr>
          </w:pPr>
          <w:hyperlink w:anchor="_Toc233276464" w:history="1">
            <w:r w:rsidR="00FF0121" w:rsidRPr="00B358F6">
              <w:rPr>
                <w:rStyle w:val="a6"/>
                <w:rFonts w:hint="eastAsia"/>
              </w:rPr>
              <w:t>5</w:t>
            </w:r>
            <w:r w:rsidR="00FF0121" w:rsidRPr="00B358F6">
              <w:rPr>
                <w:rStyle w:val="a6"/>
                <w:rFonts w:hint="eastAsia"/>
              </w:rPr>
              <w:t xml:space="preserve">　综合案例实践</w:t>
            </w:r>
            <w:r w:rsidR="00FF0121">
              <w:rPr>
                <w:rFonts w:hint="eastAsia"/>
              </w:rPr>
              <w:tab/>
            </w:r>
            <w:r w:rsidR="00FF0121">
              <w:rPr>
                <w:rFonts w:hint="eastAsia"/>
              </w:rPr>
              <w:fldChar w:fldCharType="begin"/>
            </w:r>
            <w:r w:rsidR="00FF0121">
              <w:rPr>
                <w:rFonts w:hint="eastAsia"/>
              </w:rPr>
              <w:instrText xml:space="preserve"> </w:instrText>
            </w:r>
            <w:r w:rsidR="00FF0121">
              <w:instrText>PAGEREF _Toc233276464 \h</w:instrText>
            </w:r>
            <w:r w:rsidR="00FF0121">
              <w:rPr>
                <w:rFonts w:hint="eastAsia"/>
              </w:rPr>
              <w:instrText xml:space="preserve"> </w:instrText>
            </w:r>
            <w:r w:rsidR="00FF0121">
              <w:rPr>
                <w:rFonts w:hint="eastAsia"/>
              </w:rPr>
            </w:r>
            <w:r w:rsidR="00FF0121">
              <w:rPr>
                <w:rFonts w:hint="eastAsia"/>
              </w:rPr>
              <w:fldChar w:fldCharType="separate"/>
            </w:r>
            <w:r w:rsidR="00FF0121">
              <w:rPr>
                <w:rFonts w:hint="eastAsia"/>
              </w:rPr>
              <w:t>9</w:t>
            </w:r>
            <w:r w:rsidR="00FF0121">
              <w:rPr>
                <w:rFonts w:hint="eastAsia"/>
              </w:rPr>
              <w:fldChar w:fldCharType="end"/>
            </w:r>
          </w:hyperlink>
        </w:p>
        <w:p w14:paraId="55EFCE41" w14:textId="3AD9F54D"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65" w:history="1">
            <w:r w:rsidR="00FF0121" w:rsidRPr="00B358F6">
              <w:rPr>
                <w:rStyle w:val="a6"/>
                <w:rFonts w:hint="eastAsia"/>
                <w:noProof/>
              </w:rPr>
              <w:t>5.1</w:t>
            </w:r>
            <w:r w:rsidR="00FF0121" w:rsidRPr="00B358F6">
              <w:rPr>
                <w:rStyle w:val="a6"/>
                <w:rFonts w:hint="eastAsia"/>
                <w:noProof/>
              </w:rPr>
              <w:t xml:space="preserve">　案例一：星巴克全球门店数据可视化</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_Toc233276465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10</w:t>
            </w:r>
            <w:r w:rsidR="00FF0121">
              <w:rPr>
                <w:rFonts w:hint="eastAsia"/>
                <w:noProof/>
              </w:rPr>
              <w:fldChar w:fldCharType="end"/>
            </w:r>
          </w:hyperlink>
        </w:p>
        <w:p w14:paraId="6BC870E6" w14:textId="3386E711" w:rsidR="00FF0121" w:rsidRDefault="00000000">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33276466" w:history="1">
            <w:r w:rsidR="00FF0121" w:rsidRPr="00B358F6">
              <w:rPr>
                <w:rStyle w:val="a6"/>
                <w:rFonts w:hint="eastAsia"/>
                <w:noProof/>
              </w:rPr>
              <w:t>5.1.1</w:t>
            </w:r>
            <w:r w:rsidR="00FF0121" w:rsidRPr="00B358F6">
              <w:rPr>
                <w:rStyle w:val="a6"/>
                <w:rFonts w:hint="eastAsia"/>
                <w:noProof/>
              </w:rPr>
              <w:t xml:space="preserve">　数据概况</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_Toc233276466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10</w:t>
            </w:r>
            <w:r w:rsidR="00FF0121">
              <w:rPr>
                <w:rFonts w:hint="eastAsia"/>
                <w:noProof/>
              </w:rPr>
              <w:fldChar w:fldCharType="end"/>
            </w:r>
          </w:hyperlink>
        </w:p>
        <w:p w14:paraId="03A006DE" w14:textId="012BD03C" w:rsidR="00FF0121" w:rsidRDefault="00000000">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33276467" w:history="1">
            <w:r w:rsidR="00FF0121" w:rsidRPr="00B358F6">
              <w:rPr>
                <w:rStyle w:val="a6"/>
                <w:rFonts w:hint="eastAsia"/>
                <w:noProof/>
              </w:rPr>
              <w:t>5.1.2</w:t>
            </w:r>
            <w:r w:rsidR="00FF0121" w:rsidRPr="00B358F6">
              <w:rPr>
                <w:rStyle w:val="a6"/>
                <w:rFonts w:hint="eastAsia"/>
                <w:noProof/>
              </w:rPr>
              <w:t xml:space="preserve">　全球门店分布分析</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_Toc233276467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10</w:t>
            </w:r>
            <w:r w:rsidR="00FF0121">
              <w:rPr>
                <w:rFonts w:hint="eastAsia"/>
                <w:noProof/>
              </w:rPr>
              <w:fldChar w:fldCharType="end"/>
            </w:r>
          </w:hyperlink>
        </w:p>
        <w:p w14:paraId="2D3427ED" w14:textId="10BFB163" w:rsidR="00FF0121" w:rsidRDefault="00000000">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33276468" w:history="1">
            <w:r w:rsidR="00FF0121" w:rsidRPr="00B358F6">
              <w:rPr>
                <w:rStyle w:val="a6"/>
                <w:rFonts w:hint="eastAsia"/>
                <w:noProof/>
              </w:rPr>
              <w:t>5.1.3</w:t>
            </w:r>
            <w:r w:rsidR="00FF0121" w:rsidRPr="00B358F6">
              <w:rPr>
                <w:rStyle w:val="a6"/>
                <w:rFonts w:hint="eastAsia"/>
                <w:noProof/>
              </w:rPr>
              <w:t xml:space="preserve">　经营方式分析</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_Toc233276468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11</w:t>
            </w:r>
            <w:r w:rsidR="00FF0121">
              <w:rPr>
                <w:rFonts w:hint="eastAsia"/>
                <w:noProof/>
              </w:rPr>
              <w:fldChar w:fldCharType="end"/>
            </w:r>
          </w:hyperlink>
        </w:p>
        <w:p w14:paraId="44EC6831" w14:textId="4586F068" w:rsidR="00FF0121" w:rsidRDefault="00000000">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33276469" w:history="1">
            <w:r w:rsidR="00FF0121" w:rsidRPr="00B358F6">
              <w:rPr>
                <w:rStyle w:val="a6"/>
                <w:rFonts w:hint="eastAsia"/>
                <w:noProof/>
              </w:rPr>
              <w:t>5.1.4</w:t>
            </w:r>
            <w:r w:rsidR="00FF0121" w:rsidRPr="00B358F6">
              <w:rPr>
                <w:rStyle w:val="a6"/>
                <w:rFonts w:hint="eastAsia"/>
                <w:noProof/>
              </w:rPr>
              <w:t xml:space="preserve">　中国市场深度分析</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_Toc233276469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11</w:t>
            </w:r>
            <w:r w:rsidR="00FF0121">
              <w:rPr>
                <w:rFonts w:hint="eastAsia"/>
                <w:noProof/>
              </w:rPr>
              <w:fldChar w:fldCharType="end"/>
            </w:r>
          </w:hyperlink>
        </w:p>
        <w:p w14:paraId="3C660960" w14:textId="7B5D8AA4"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70" w:history="1">
            <w:r w:rsidR="00FF0121" w:rsidRPr="00B358F6">
              <w:rPr>
                <w:rStyle w:val="a6"/>
                <w:rFonts w:hint="eastAsia"/>
                <w:noProof/>
              </w:rPr>
              <w:t>5.2</w:t>
            </w:r>
            <w:r w:rsidR="00FF0121" w:rsidRPr="00B358F6">
              <w:rPr>
                <w:rStyle w:val="a6"/>
                <w:rFonts w:hint="eastAsia"/>
                <w:noProof/>
              </w:rPr>
              <w:t xml:space="preserve">　案例二：泰坦尼克号乘客数据可视化分析</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_Toc233276470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12</w:t>
            </w:r>
            <w:r w:rsidR="00FF0121">
              <w:rPr>
                <w:rFonts w:hint="eastAsia"/>
                <w:noProof/>
              </w:rPr>
              <w:fldChar w:fldCharType="end"/>
            </w:r>
          </w:hyperlink>
        </w:p>
        <w:p w14:paraId="31827F18" w14:textId="5F338455" w:rsidR="00FF0121" w:rsidRDefault="00000000">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33276471" w:history="1">
            <w:r w:rsidR="00FF0121" w:rsidRPr="00B358F6">
              <w:rPr>
                <w:rStyle w:val="a6"/>
                <w:rFonts w:hint="eastAsia"/>
                <w:noProof/>
              </w:rPr>
              <w:t>5.2.1</w:t>
            </w:r>
            <w:r w:rsidR="00FF0121" w:rsidRPr="00B358F6">
              <w:rPr>
                <w:rStyle w:val="a6"/>
                <w:rFonts w:hint="eastAsia"/>
                <w:noProof/>
              </w:rPr>
              <w:t xml:space="preserve">　数据概况</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_Toc233276471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12</w:t>
            </w:r>
            <w:r w:rsidR="00FF0121">
              <w:rPr>
                <w:rFonts w:hint="eastAsia"/>
                <w:noProof/>
              </w:rPr>
              <w:fldChar w:fldCharType="end"/>
            </w:r>
          </w:hyperlink>
        </w:p>
        <w:p w14:paraId="76527FAD" w14:textId="618461E9" w:rsidR="00FF0121" w:rsidRDefault="00000000">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33276472" w:history="1">
            <w:r w:rsidR="00FF0121" w:rsidRPr="00B358F6">
              <w:rPr>
                <w:rStyle w:val="a6"/>
                <w:rFonts w:hint="eastAsia"/>
                <w:noProof/>
              </w:rPr>
              <w:t>5.2.2</w:t>
            </w:r>
            <w:r w:rsidR="00FF0121" w:rsidRPr="00B358F6">
              <w:rPr>
                <w:rStyle w:val="a6"/>
                <w:rFonts w:hint="eastAsia"/>
                <w:noProof/>
              </w:rPr>
              <w:t xml:space="preserve">　乘客构成分析</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_Toc233276472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12</w:t>
            </w:r>
            <w:r w:rsidR="00FF0121">
              <w:rPr>
                <w:rFonts w:hint="eastAsia"/>
                <w:noProof/>
              </w:rPr>
              <w:fldChar w:fldCharType="end"/>
            </w:r>
          </w:hyperlink>
        </w:p>
        <w:p w14:paraId="55F90662" w14:textId="115EBB04" w:rsidR="00FF0121" w:rsidRDefault="00000000">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33276473" w:history="1">
            <w:r w:rsidR="00FF0121" w:rsidRPr="00B358F6">
              <w:rPr>
                <w:rStyle w:val="a6"/>
                <w:rFonts w:hint="eastAsia"/>
                <w:noProof/>
              </w:rPr>
              <w:t>5.2.3</w:t>
            </w:r>
            <w:r w:rsidR="00FF0121" w:rsidRPr="00B358F6">
              <w:rPr>
                <w:rStyle w:val="a6"/>
                <w:rFonts w:hint="eastAsia"/>
                <w:noProof/>
              </w:rPr>
              <w:t xml:space="preserve">　生还因素分析</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_Toc233276473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13</w:t>
            </w:r>
            <w:r w:rsidR="00FF0121">
              <w:rPr>
                <w:rFonts w:hint="eastAsia"/>
                <w:noProof/>
              </w:rPr>
              <w:fldChar w:fldCharType="end"/>
            </w:r>
          </w:hyperlink>
        </w:p>
        <w:p w14:paraId="4D76C53A" w14:textId="23ED3285"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74" w:history="1">
            <w:r w:rsidR="00FF0121" w:rsidRPr="00B358F6">
              <w:rPr>
                <w:rStyle w:val="a6"/>
                <w:rFonts w:hint="eastAsia"/>
                <w:noProof/>
              </w:rPr>
              <w:t>5.3</w:t>
            </w:r>
            <w:r w:rsidR="00FF0121" w:rsidRPr="00B358F6">
              <w:rPr>
                <w:rStyle w:val="a6"/>
                <w:rFonts w:hint="eastAsia"/>
                <w:noProof/>
              </w:rPr>
              <w:t xml:space="preserve">　案例小结</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_Toc233276474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14</w:t>
            </w:r>
            <w:r w:rsidR="00FF0121">
              <w:rPr>
                <w:rFonts w:hint="eastAsia"/>
                <w:noProof/>
              </w:rPr>
              <w:fldChar w:fldCharType="end"/>
            </w:r>
          </w:hyperlink>
        </w:p>
        <w:p w14:paraId="607923ED" w14:textId="0210B406" w:rsidR="00FF0121" w:rsidRDefault="00000000" w:rsidP="00AA5D6E">
          <w:pPr>
            <w:pStyle w:val="TOC1"/>
            <w:rPr>
              <w:rFonts w:asciiTheme="minorHAnsi" w:eastAsiaTheme="minorEastAsia" w:hAnsiTheme="minorHAnsi" w:cstheme="minorBidi" w:hint="eastAsia"/>
              <w:kern w:val="2"/>
              <w:sz w:val="22"/>
              <w14:ligatures w14:val="standardContextual"/>
            </w:rPr>
          </w:pPr>
          <w:hyperlink w:anchor="_Toc233276475" w:history="1">
            <w:r w:rsidR="00FF0121" w:rsidRPr="00B358F6">
              <w:rPr>
                <w:rStyle w:val="a6"/>
                <w:rFonts w:hint="eastAsia"/>
              </w:rPr>
              <w:t>6</w:t>
            </w:r>
            <w:r w:rsidR="00FF0121" w:rsidRPr="00B358F6">
              <w:rPr>
                <w:rStyle w:val="a6"/>
                <w:rFonts w:hint="eastAsia"/>
              </w:rPr>
              <w:t xml:space="preserve">　结论与展望</w:t>
            </w:r>
            <w:r w:rsidR="00FF0121">
              <w:rPr>
                <w:rFonts w:hint="eastAsia"/>
              </w:rPr>
              <w:tab/>
            </w:r>
            <w:r w:rsidR="00FF0121">
              <w:rPr>
                <w:rFonts w:hint="eastAsia"/>
              </w:rPr>
              <w:fldChar w:fldCharType="begin"/>
            </w:r>
            <w:r w:rsidR="00FF0121">
              <w:rPr>
                <w:rFonts w:hint="eastAsia"/>
              </w:rPr>
              <w:instrText xml:space="preserve"> </w:instrText>
            </w:r>
            <w:r w:rsidR="00FF0121">
              <w:instrText>PAGEREF _Toc233276475 \h</w:instrText>
            </w:r>
            <w:r w:rsidR="00FF0121">
              <w:rPr>
                <w:rFonts w:hint="eastAsia"/>
              </w:rPr>
              <w:instrText xml:space="preserve"> </w:instrText>
            </w:r>
            <w:r w:rsidR="00FF0121">
              <w:rPr>
                <w:rFonts w:hint="eastAsia"/>
              </w:rPr>
            </w:r>
            <w:r w:rsidR="00FF0121">
              <w:rPr>
                <w:rFonts w:hint="eastAsia"/>
              </w:rPr>
              <w:fldChar w:fldCharType="separate"/>
            </w:r>
            <w:r w:rsidR="00FF0121">
              <w:rPr>
                <w:rFonts w:hint="eastAsia"/>
              </w:rPr>
              <w:t>14</w:t>
            </w:r>
            <w:r w:rsidR="00FF0121">
              <w:rPr>
                <w:rFonts w:hint="eastAsia"/>
              </w:rPr>
              <w:fldChar w:fldCharType="end"/>
            </w:r>
          </w:hyperlink>
        </w:p>
        <w:p w14:paraId="22641D7B" w14:textId="774BEE60"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76" w:history="1">
            <w:r w:rsidR="00FF0121" w:rsidRPr="00B358F6">
              <w:rPr>
                <w:rStyle w:val="a6"/>
                <w:rFonts w:hint="eastAsia"/>
                <w:noProof/>
              </w:rPr>
              <w:t>6.1</w:t>
            </w:r>
            <w:r w:rsidR="00FF0121" w:rsidRPr="00B358F6">
              <w:rPr>
                <w:rStyle w:val="a6"/>
                <w:rFonts w:hint="eastAsia"/>
                <w:noProof/>
              </w:rPr>
              <w:t xml:space="preserve">　研究结论</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_Toc233276476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14</w:t>
            </w:r>
            <w:r w:rsidR="00FF0121">
              <w:rPr>
                <w:rFonts w:hint="eastAsia"/>
                <w:noProof/>
              </w:rPr>
              <w:fldChar w:fldCharType="end"/>
            </w:r>
          </w:hyperlink>
        </w:p>
        <w:p w14:paraId="75CBBE1D" w14:textId="752CF798" w:rsidR="00FF0121" w:rsidRDefault="00000000">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33276477" w:history="1">
            <w:r w:rsidR="00FF0121" w:rsidRPr="00B358F6">
              <w:rPr>
                <w:rStyle w:val="a6"/>
                <w:rFonts w:hint="eastAsia"/>
                <w:noProof/>
              </w:rPr>
              <w:t>6.2</w:t>
            </w:r>
            <w:r w:rsidR="00FF0121" w:rsidRPr="00B358F6">
              <w:rPr>
                <w:rStyle w:val="a6"/>
                <w:rFonts w:hint="eastAsia"/>
                <w:noProof/>
              </w:rPr>
              <w:t xml:space="preserve">　不足与展望</w:t>
            </w:r>
            <w:r w:rsidR="00FF0121">
              <w:rPr>
                <w:rFonts w:hint="eastAsia"/>
                <w:noProof/>
              </w:rPr>
              <w:tab/>
            </w:r>
            <w:r w:rsidR="00FF0121">
              <w:rPr>
                <w:rFonts w:hint="eastAsia"/>
                <w:noProof/>
              </w:rPr>
              <w:fldChar w:fldCharType="begin"/>
            </w:r>
            <w:r w:rsidR="00FF0121">
              <w:rPr>
                <w:rFonts w:hint="eastAsia"/>
                <w:noProof/>
              </w:rPr>
              <w:instrText xml:space="preserve"> </w:instrText>
            </w:r>
            <w:r w:rsidR="00FF0121">
              <w:rPr>
                <w:noProof/>
              </w:rPr>
              <w:instrText>PAGEREF _Toc233276477 \h</w:instrText>
            </w:r>
            <w:r w:rsidR="00FF0121">
              <w:rPr>
                <w:rFonts w:hint="eastAsia"/>
                <w:noProof/>
              </w:rPr>
              <w:instrText xml:space="preserve"> </w:instrText>
            </w:r>
            <w:r w:rsidR="00FF0121">
              <w:rPr>
                <w:rFonts w:hint="eastAsia"/>
                <w:noProof/>
              </w:rPr>
            </w:r>
            <w:r w:rsidR="00FF0121">
              <w:rPr>
                <w:rFonts w:hint="eastAsia"/>
                <w:noProof/>
              </w:rPr>
              <w:fldChar w:fldCharType="separate"/>
            </w:r>
            <w:r w:rsidR="00FF0121">
              <w:rPr>
                <w:rFonts w:hint="eastAsia"/>
                <w:noProof/>
              </w:rPr>
              <w:t>15</w:t>
            </w:r>
            <w:r w:rsidR="00FF0121">
              <w:rPr>
                <w:rFonts w:hint="eastAsia"/>
                <w:noProof/>
              </w:rPr>
              <w:fldChar w:fldCharType="end"/>
            </w:r>
          </w:hyperlink>
        </w:p>
        <w:p w14:paraId="632242D3" w14:textId="244954D9" w:rsidR="00342586" w:rsidRDefault="00342586" w:rsidP="00342586">
          <w:r>
            <w:fldChar w:fldCharType="end"/>
          </w:r>
        </w:p>
      </w:sdtContent>
    </w:sdt>
    <w:p w14:paraId="14F1BC22" w14:textId="535BC24F" w:rsidR="00A97272" w:rsidRDefault="00A97272">
      <w:pPr>
        <w:widowControl/>
      </w:pPr>
      <w:r>
        <w:rPr>
          <w:rFonts w:hint="eastAsia"/>
        </w:rPr>
        <w:br w:type="page"/>
      </w:r>
    </w:p>
    <w:p w14:paraId="023A33D5" w14:textId="77777777" w:rsidR="00342586" w:rsidRPr="00342586" w:rsidRDefault="00342586" w:rsidP="00342586">
      <w:pPr>
        <w:sectPr w:rsidR="00342586" w:rsidRPr="00342586">
          <w:pgSz w:w="11906" w:h="16838"/>
          <w:pgMar w:top="1440" w:right="1800" w:bottom="1440" w:left="1800" w:header="708" w:footer="708" w:gutter="0"/>
          <w:cols w:space="720"/>
          <w:docGrid w:linePitch="360"/>
        </w:sectPr>
      </w:pPr>
    </w:p>
    <w:p w14:paraId="4119204D" w14:textId="46663C98" w:rsidR="004B103D" w:rsidRDefault="009A1D23" w:rsidP="000A32FC">
      <w:pPr>
        <w:spacing w:line="360" w:lineRule="auto"/>
        <w:jc w:val="center"/>
        <w:rPr>
          <w:rFonts w:ascii="楷体" w:eastAsia="楷体" w:hAnsi="楷体" w:cs="楷体" w:hint="eastAsia"/>
          <w:b/>
          <w:bCs/>
          <w:sz w:val="48"/>
          <w:szCs w:val="48"/>
        </w:rPr>
      </w:pPr>
      <w:r>
        <w:rPr>
          <w:rFonts w:ascii="楷体" w:eastAsia="楷体" w:hAnsi="楷体" w:cs="楷体"/>
          <w:b/>
          <w:bCs/>
          <w:sz w:val="48"/>
          <w:szCs w:val="48"/>
        </w:rPr>
        <w:lastRenderedPageBreak/>
        <w:t>数据可视化原则与实践——基于Python三大可视化库的对比研究</w:t>
      </w:r>
    </w:p>
    <w:p w14:paraId="55D01D17" w14:textId="77777777" w:rsidR="000A32FC" w:rsidRDefault="000A32FC" w:rsidP="000A32FC"/>
    <w:p w14:paraId="2280EE04" w14:textId="28AB4C7F" w:rsidR="009A1D23" w:rsidRPr="000A32FC" w:rsidRDefault="00C00239" w:rsidP="000A32FC">
      <w:pPr>
        <w:spacing w:line="360" w:lineRule="auto"/>
        <w:jc w:val="center"/>
        <w:rPr>
          <w:rFonts w:ascii="楷体_GB2312" w:eastAsia="楷体_GB2312" w:hAnsi="楷体" w:cs="楷体" w:hint="eastAsia"/>
        </w:rPr>
      </w:pPr>
      <w:r>
        <w:rPr>
          <w:rFonts w:ascii="楷体_GB2312" w:eastAsia="楷体_GB2312" w:hAnsi="楷体" w:cs="楷体" w:hint="eastAsia"/>
        </w:rPr>
        <w:t>作者名字</w:t>
      </w:r>
    </w:p>
    <w:p w14:paraId="3E484E45" w14:textId="77777777" w:rsidR="000A32FC" w:rsidRPr="009A1D23" w:rsidRDefault="000A32FC" w:rsidP="000A32FC"/>
    <w:p w14:paraId="6C39FE27" w14:textId="094491C2" w:rsidR="004B103D" w:rsidRDefault="00000000">
      <w:pPr>
        <w:spacing w:line="360" w:lineRule="auto"/>
      </w:pPr>
      <w:r>
        <w:rPr>
          <w:rFonts w:ascii="黑体" w:eastAsia="黑体" w:hAnsi="黑体" w:cs="黑体"/>
          <w:b/>
          <w:bCs/>
        </w:rPr>
        <w:t>摘要</w:t>
      </w:r>
      <w:r w:rsidR="00DC331F">
        <w:rPr>
          <w:rFonts w:hint="eastAsia"/>
        </w:rPr>
        <w:t>：</w:t>
      </w:r>
      <w:r>
        <w:t>随着大数据时代的到来，数据可视化已成为数据分析领域不可或缺的核心技术。本文以</w:t>
      </w:r>
      <w:r>
        <w:t>"</w:t>
      </w:r>
      <w:r>
        <w:t>数据可视化原则与实践</w:t>
      </w:r>
      <w:r>
        <w:t>"</w:t>
      </w:r>
      <w:r>
        <w:t>为主题，系统梳理了数据可视化的基本概念与设计原则，从准确性、清晰性、有效性和美观性四个维度构建了可视化质量评价框架。在此基础上，本文深入对比了</w:t>
      </w:r>
      <w:r>
        <w:t>Python</w:t>
      </w:r>
      <w:r>
        <w:t>生态系统中三大主流可视化库</w:t>
      </w:r>
      <w:r>
        <w:t>——Matplotlib</w:t>
      </w:r>
      <w:r>
        <w:t>、</w:t>
      </w:r>
      <w:r>
        <w:t>Seaborn</w:t>
      </w:r>
      <w:r>
        <w:t>和</w:t>
      </w:r>
      <w:proofErr w:type="spellStart"/>
      <w:r>
        <w:t>Pyecharts</w:t>
      </w:r>
      <w:proofErr w:type="spellEnd"/>
      <w:r>
        <w:t>——</w:t>
      </w:r>
      <w:r>
        <w:t>在功能定位、图表类型、交互能力和使用场景等方面的差异。通过引入认知负荷理论与格式塔原理，本文提出了面向不同数据类型和分析目标的图表选择策略。综合案例部分基于</w:t>
      </w:r>
      <w:proofErr w:type="gramStart"/>
      <w:r>
        <w:t>星巴克全球门店数据</w:t>
      </w:r>
      <w:proofErr w:type="gramEnd"/>
      <w:r>
        <w:t>集与泰坦尼克号乘客数据集，运用三大库分别实现了从基础统计图到高级交互式图表的完整可视化流程，验证了所述原则与策略的有效性。研究表明，合理选择可视化工具并遵循设计原则，能显著提升数据沟通的效率与质量。</w:t>
      </w:r>
    </w:p>
    <w:p w14:paraId="07D80BB8" w14:textId="77777777" w:rsidR="004B103D" w:rsidRDefault="00000000">
      <w:pPr>
        <w:spacing w:line="360" w:lineRule="auto"/>
      </w:pPr>
      <w:r>
        <w:rPr>
          <w:rFonts w:ascii="黑体" w:eastAsia="黑体" w:hAnsi="黑体" w:cs="黑体"/>
          <w:b/>
          <w:bCs/>
        </w:rPr>
        <w:t>关键词</w:t>
      </w:r>
      <w:r>
        <w:t>：数据可视化；</w:t>
      </w:r>
      <w:r>
        <w:t>Python</w:t>
      </w:r>
      <w:r>
        <w:t>；</w:t>
      </w:r>
      <w:r>
        <w:t>Matplotlib</w:t>
      </w:r>
      <w:r>
        <w:t>；</w:t>
      </w:r>
      <w:r>
        <w:t>Seaborn</w:t>
      </w:r>
      <w:r>
        <w:t>；</w:t>
      </w:r>
      <w:proofErr w:type="spellStart"/>
      <w:r>
        <w:t>Pyecharts</w:t>
      </w:r>
      <w:proofErr w:type="spellEnd"/>
    </w:p>
    <w:p w14:paraId="6492AB53" w14:textId="77777777" w:rsidR="009A1D23" w:rsidRDefault="009A1D23">
      <w:pPr>
        <w:spacing w:line="360" w:lineRule="auto"/>
        <w:jc w:val="center"/>
      </w:pPr>
    </w:p>
    <w:p w14:paraId="78BFDCBF" w14:textId="415E954E" w:rsidR="004B103D" w:rsidRDefault="00000000">
      <w:pPr>
        <w:spacing w:line="360" w:lineRule="auto"/>
        <w:jc w:val="center"/>
      </w:pPr>
      <w:r>
        <w:rPr>
          <w:rFonts w:eastAsia="Times New Roman" w:cs="Times New Roman"/>
          <w:b/>
          <w:bCs/>
          <w:sz w:val="44"/>
          <w:szCs w:val="44"/>
        </w:rPr>
        <w:t>Data Visualization Principles and Practice</w:t>
      </w:r>
    </w:p>
    <w:p w14:paraId="738478C7" w14:textId="77777777" w:rsidR="004B103D" w:rsidRDefault="00000000">
      <w:pPr>
        <w:spacing w:line="360" w:lineRule="auto"/>
        <w:jc w:val="center"/>
      </w:pPr>
      <w:r>
        <w:rPr>
          <w:rFonts w:eastAsia="Times New Roman" w:cs="Times New Roman"/>
          <w:sz w:val="30"/>
          <w:szCs w:val="30"/>
        </w:rPr>
        <w:t>—A Comparative Study Based on Three Major Python Visualization Libraries</w:t>
      </w:r>
    </w:p>
    <w:p w14:paraId="3C1A71FD" w14:textId="77777777" w:rsidR="004B103D" w:rsidRDefault="004B103D">
      <w:pPr>
        <w:spacing w:line="360" w:lineRule="auto"/>
      </w:pPr>
    </w:p>
    <w:p w14:paraId="5D93CEF3" w14:textId="77777777" w:rsidR="004B103D" w:rsidRDefault="00000000">
      <w:pPr>
        <w:spacing w:line="360" w:lineRule="auto"/>
        <w:jc w:val="center"/>
      </w:pPr>
      <w:r>
        <w:rPr>
          <w:rFonts w:eastAsia="Times New Roman" w:cs="Times New Roman"/>
        </w:rPr>
        <w:t>By</w:t>
      </w:r>
    </w:p>
    <w:p w14:paraId="0A772A87" w14:textId="77777777" w:rsidR="004B103D" w:rsidRDefault="00000000">
      <w:pPr>
        <w:spacing w:line="360" w:lineRule="auto"/>
        <w:jc w:val="center"/>
      </w:pPr>
      <w:r>
        <w:rPr>
          <w:rFonts w:eastAsia="Times New Roman" w:cs="Times New Roman"/>
        </w:rPr>
        <w:t xml:space="preserve">Pan </w:t>
      </w:r>
      <w:proofErr w:type="spellStart"/>
      <w:r>
        <w:rPr>
          <w:rFonts w:eastAsia="Times New Roman" w:cs="Times New Roman"/>
        </w:rPr>
        <w:t>Weide</w:t>
      </w:r>
      <w:proofErr w:type="spellEnd"/>
    </w:p>
    <w:p w14:paraId="18A74640" w14:textId="77777777" w:rsidR="004B103D" w:rsidRDefault="00000000">
      <w:pPr>
        <w:spacing w:line="360" w:lineRule="auto"/>
        <w:jc w:val="center"/>
      </w:pPr>
      <w:r>
        <w:rPr>
          <w:rFonts w:eastAsia="Times New Roman" w:cs="Times New Roman"/>
          <w:b/>
          <w:bCs/>
        </w:rPr>
        <w:t>June, 2026</w:t>
      </w:r>
    </w:p>
    <w:p w14:paraId="643ECA7B" w14:textId="77777777" w:rsidR="004B103D" w:rsidRDefault="004B103D">
      <w:pPr>
        <w:spacing w:line="360" w:lineRule="auto"/>
      </w:pPr>
    </w:p>
    <w:p w14:paraId="656AF100" w14:textId="16F8A186" w:rsidR="004B103D" w:rsidRDefault="00000000">
      <w:pPr>
        <w:spacing w:line="360" w:lineRule="auto"/>
      </w:pPr>
      <w:r>
        <w:rPr>
          <w:rFonts w:eastAsia="Times New Roman" w:cs="Times New Roman"/>
          <w:b/>
          <w:bCs/>
        </w:rPr>
        <w:t>Abstract:</w:t>
      </w:r>
      <w:r>
        <w:rPr>
          <w:rFonts w:eastAsia="Times New Roman" w:cs="Times New Roman"/>
        </w:rPr>
        <w:t xml:space="preserve"> With the advent of the big data era, data visualization has become an indispensable core technology in the field of data analysis. This paper, themed "Data Visualization Principles and Practice," systematically reviews the fundamental </w:t>
      </w:r>
      <w:r>
        <w:rPr>
          <w:rFonts w:eastAsia="Times New Roman" w:cs="Times New Roman"/>
        </w:rPr>
        <w:lastRenderedPageBreak/>
        <w:t xml:space="preserve">concepts and design principles of data visualization, constructing a visualization quality evaluation framework from four dimensions: accuracy, clarity, effectiveness, and aesthetics. On this basis, the paper conducts an in-depth comparison of three mainstream visualization libraries in the Python ecosystem—Matplotlib, Seaborn, and </w:t>
      </w:r>
      <w:proofErr w:type="spellStart"/>
      <w:r>
        <w:rPr>
          <w:rFonts w:eastAsia="Times New Roman" w:cs="Times New Roman"/>
        </w:rPr>
        <w:t>Pyecharts</w:t>
      </w:r>
      <w:proofErr w:type="spellEnd"/>
      <w:r>
        <w:rPr>
          <w:rFonts w:eastAsia="Times New Roman" w:cs="Times New Roman"/>
        </w:rPr>
        <w:t>—in terms of functional positioning, chart types, interactive capabilities, and application scenarios. By introducing Cognitive Load Theory and Gestalt principles, this paper proposes chart selection strategies tailored to different data types and analytical objectives. The comprehensive case study, based on the Starbucks global store dataset and the Titanic passenger dataset, implements a complete visualization workflow from basic statistical charts to advanced interactive charts using the three libraries, thereby validating the effectiveness of the proposed principles and strategies. The research demonstrates that appropriate tool selection and adherence to design principles can significantly enhance the efficiency and quality of data communication.</w:t>
      </w:r>
    </w:p>
    <w:p w14:paraId="4B451021" w14:textId="1B755BE3" w:rsidR="004B103D" w:rsidRPr="009A1D23" w:rsidRDefault="00000000" w:rsidP="00342586">
      <w:pPr>
        <w:spacing w:line="360" w:lineRule="auto"/>
        <w:rPr>
          <w:rFonts w:eastAsiaTheme="minorEastAsia"/>
        </w:rPr>
        <w:sectPr w:rsidR="004B103D" w:rsidRPr="009A1D23">
          <w:pgSz w:w="11906" w:h="16838"/>
          <w:pgMar w:top="1440" w:right="1800" w:bottom="1440" w:left="1800" w:header="708" w:footer="708" w:gutter="0"/>
          <w:cols w:space="720"/>
          <w:docGrid w:linePitch="360"/>
        </w:sectPr>
      </w:pPr>
      <w:r>
        <w:rPr>
          <w:rFonts w:eastAsia="Times New Roman" w:cs="Times New Roman"/>
          <w:b/>
          <w:bCs/>
        </w:rPr>
        <w:t>Key words:</w:t>
      </w:r>
      <w:r>
        <w:rPr>
          <w:rFonts w:eastAsia="Times New Roman" w:cs="Times New Roman"/>
        </w:rPr>
        <w:t xml:space="preserve"> data visualization; Python; Matplotlib; Seaborn; </w:t>
      </w:r>
      <w:proofErr w:type="spellStart"/>
      <w:r>
        <w:rPr>
          <w:rFonts w:eastAsia="Times New Roman" w:cs="Times New Roman"/>
        </w:rPr>
        <w:t>Pyech</w:t>
      </w:r>
      <w:proofErr w:type="spellEnd"/>
    </w:p>
    <w:p w14:paraId="18C3BD3A" w14:textId="77777777" w:rsidR="004B103D" w:rsidRDefault="004B103D">
      <w:pPr>
        <w:spacing w:line="360" w:lineRule="auto"/>
      </w:pPr>
    </w:p>
    <w:p w14:paraId="283F223A" w14:textId="77777777" w:rsidR="004B103D" w:rsidRDefault="00000000">
      <w:pPr>
        <w:pStyle w:val="1"/>
        <w:rPr>
          <w:rFonts w:hint="eastAsia"/>
        </w:rPr>
      </w:pPr>
      <w:bookmarkStart w:id="0" w:name="_Toc233276437"/>
      <w:r>
        <w:t>1　引言</w:t>
      </w:r>
      <w:bookmarkEnd w:id="0"/>
    </w:p>
    <w:p w14:paraId="1910E1D7" w14:textId="77777777" w:rsidR="004B103D" w:rsidRDefault="00000000">
      <w:pPr>
        <w:pStyle w:val="2"/>
        <w:rPr>
          <w:rFonts w:hint="eastAsia"/>
        </w:rPr>
      </w:pPr>
      <w:bookmarkStart w:id="1" w:name="_Toc233276438"/>
      <w:r>
        <w:t>1.1　研究背景与意义</w:t>
      </w:r>
      <w:bookmarkEnd w:id="1"/>
    </w:p>
    <w:p w14:paraId="37B4B59F" w14:textId="77777777" w:rsidR="004B103D" w:rsidRDefault="00000000">
      <w:pPr>
        <w:spacing w:line="360" w:lineRule="auto"/>
        <w:ind w:firstLine="480"/>
      </w:pPr>
      <w:r>
        <w:t>在数字经济蓬勃发展的</w:t>
      </w:r>
      <w:proofErr w:type="gramStart"/>
      <w:r>
        <w:t>2020</w:t>
      </w:r>
      <w:proofErr w:type="gramEnd"/>
      <w:r>
        <w:t>年代，数据已成为继土地、劳动力、资本、技术之后的第五大生产要素。国际数据公司（</w:t>
      </w:r>
      <w:r>
        <w:t>IDC</w:t>
      </w:r>
      <w:r>
        <w:t>）预测，到</w:t>
      </w:r>
      <w:r>
        <w:t>2025</w:t>
      </w:r>
      <w:r>
        <w:t>年全球数据总量将达到</w:t>
      </w:r>
      <w:r>
        <w:t>175ZB</w:t>
      </w:r>
      <w:r>
        <w:t>，如何从海量数据中高效提取有价值的信息，成为学术界与产业界共同关注的核心议题。数据可视化（</w:t>
      </w:r>
      <w:r>
        <w:t>Data Visualization</w:t>
      </w:r>
      <w:r>
        <w:t>）作为数据到洞察的</w:t>
      </w:r>
      <w:r>
        <w:t>"</w:t>
      </w:r>
      <w:r>
        <w:t>最后一公里</w:t>
      </w:r>
      <w:r>
        <w:t>"</w:t>
      </w:r>
      <w:r>
        <w:t>，通过图形化手段将抽象的数字转化为直观的视觉形式，极大地降低了人类认知数据的门槛。</w:t>
      </w:r>
    </w:p>
    <w:p w14:paraId="2AA8574D" w14:textId="77777777" w:rsidR="004B103D" w:rsidRDefault="00000000">
      <w:pPr>
        <w:spacing w:line="360" w:lineRule="auto"/>
        <w:ind w:firstLine="480"/>
      </w:pPr>
      <w:r>
        <w:t>Python</w:t>
      </w:r>
      <w:r>
        <w:t>作为数据科学领域最广泛使用的编程语言之一，其生态系统中的可视化</w:t>
      </w:r>
      <w:proofErr w:type="gramStart"/>
      <w:r>
        <w:t>工具链已相当</w:t>
      </w:r>
      <w:proofErr w:type="gramEnd"/>
      <w:r>
        <w:t>成熟。然而，面对</w:t>
      </w:r>
      <w:r>
        <w:t>Matplotlib</w:t>
      </w:r>
      <w:r>
        <w:t>、</w:t>
      </w:r>
      <w:r>
        <w:t>Seaborn</w:t>
      </w:r>
      <w:r>
        <w:t>、</w:t>
      </w:r>
      <w:proofErr w:type="spellStart"/>
      <w:r>
        <w:t>Pyecharts</w:t>
      </w:r>
      <w:proofErr w:type="spellEnd"/>
      <w:r>
        <w:t>等各具特色的可视化库，初学者和从业者往往难以做出合理选择。</w:t>
      </w:r>
      <w:proofErr w:type="gramStart"/>
      <w:r>
        <w:t>不同库</w:t>
      </w:r>
      <w:proofErr w:type="gramEnd"/>
      <w:r>
        <w:t>在底层架构、图表类型、自定义能力和交互性方面存在显著差异，选型不当可能导致开发效率低下甚至信息传达失真。因此，系统研究可视化设计原则，并对主流</w:t>
      </w:r>
      <w:r>
        <w:t>Python</w:t>
      </w:r>
      <w:r>
        <w:t>可视化库进行对比分析，具有重要的理论价值和实践指导意义。</w:t>
      </w:r>
    </w:p>
    <w:p w14:paraId="1729E3D7" w14:textId="77777777" w:rsidR="004B103D" w:rsidRDefault="00000000">
      <w:pPr>
        <w:pStyle w:val="2"/>
        <w:rPr>
          <w:rFonts w:hint="eastAsia"/>
        </w:rPr>
      </w:pPr>
      <w:bookmarkStart w:id="2" w:name="_Toc233276439"/>
      <w:r>
        <w:t>1.2　国内外研究现状</w:t>
      </w:r>
      <w:bookmarkEnd w:id="2"/>
    </w:p>
    <w:p w14:paraId="3D1671CB" w14:textId="13909353" w:rsidR="004B103D" w:rsidRDefault="00000000">
      <w:pPr>
        <w:spacing w:line="360" w:lineRule="auto"/>
        <w:ind w:firstLine="480"/>
      </w:pPr>
      <w:r>
        <w:t>数据可视化的学术研究可追溯至</w:t>
      </w:r>
      <w:r>
        <w:t>20</w:t>
      </w:r>
      <w:r>
        <w:t>世纪</w:t>
      </w:r>
      <w:r>
        <w:t>60</w:t>
      </w:r>
      <w:r>
        <w:t>年代</w:t>
      </w:r>
      <w:r>
        <w:t>Tukey</w:t>
      </w:r>
      <w:r>
        <w:t>提出的探索性数据分析（</w:t>
      </w:r>
      <w:r>
        <w:t>EDA</w:t>
      </w:r>
      <w:r>
        <w:t>）理论，此后经</w:t>
      </w:r>
      <w:r>
        <w:t>Tufte</w:t>
      </w:r>
      <w:r>
        <w:t>、</w:t>
      </w:r>
      <w:r>
        <w:t>Cleveland</w:t>
      </w:r>
      <w:r>
        <w:t>等学者的系统化推进，逐渐形成了以</w:t>
      </w:r>
      <w:r>
        <w:t>"</w:t>
      </w:r>
      <w:r>
        <w:t>图形卓越性</w:t>
      </w:r>
      <w:r>
        <w:t>"</w:t>
      </w:r>
      <w:r>
        <w:t>（</w:t>
      </w:r>
      <w:r>
        <w:t>Graphical Excellence</w:t>
      </w:r>
      <w:r>
        <w:t>）为核心的设计哲学。在国内，陈为等编著的《数据可视化》教材系统地介绍了可视化基础理论与方法</w:t>
      </w:r>
      <w:r w:rsidR="00C24CC4" w:rsidRPr="00C24CC4">
        <w:rPr>
          <w:rFonts w:hint="eastAsia"/>
          <w:vertAlign w:val="superscript"/>
        </w:rPr>
        <w:fldChar w:fldCharType="begin"/>
      </w:r>
      <w:r w:rsidR="00C24CC4" w:rsidRPr="00C24CC4">
        <w:rPr>
          <w:rFonts w:hint="eastAsia"/>
          <w:vertAlign w:val="superscript"/>
        </w:rPr>
        <w:instrText xml:space="preserve"> </w:instrText>
      </w:r>
      <w:r w:rsidR="00C24CC4" w:rsidRPr="00C24CC4">
        <w:rPr>
          <w:vertAlign w:val="superscript"/>
        </w:rPr>
        <w:instrText>REF _Ref233277732 \r \h</w:instrText>
      </w:r>
      <w:r w:rsidR="00C24CC4" w:rsidRPr="00C24CC4">
        <w:rPr>
          <w:rFonts w:hint="eastAsia"/>
          <w:vertAlign w:val="superscript"/>
        </w:rPr>
        <w:instrText xml:space="preserve">  \* MERGEFORMAT </w:instrText>
      </w:r>
      <w:r w:rsidR="00C24CC4" w:rsidRPr="00C24CC4">
        <w:rPr>
          <w:rFonts w:hint="eastAsia"/>
          <w:vertAlign w:val="superscript"/>
        </w:rPr>
      </w:r>
      <w:r w:rsidR="00C24CC4" w:rsidRPr="00C24CC4">
        <w:rPr>
          <w:rFonts w:hint="eastAsia"/>
          <w:vertAlign w:val="superscript"/>
        </w:rPr>
        <w:fldChar w:fldCharType="separate"/>
      </w:r>
      <w:r w:rsidR="00C24CC4" w:rsidRPr="00C24CC4">
        <w:rPr>
          <w:rFonts w:hint="eastAsia"/>
          <w:vertAlign w:val="superscript"/>
        </w:rPr>
        <w:t>[1]</w:t>
      </w:r>
      <w:r w:rsidR="00C24CC4" w:rsidRPr="00C24CC4">
        <w:rPr>
          <w:rFonts w:hint="eastAsia"/>
          <w:vertAlign w:val="superscript"/>
        </w:rPr>
        <w:fldChar w:fldCharType="end"/>
      </w:r>
      <w:r>
        <w:t>；骆昱宇等</w:t>
      </w:r>
      <w:r w:rsidR="00BB5647" w:rsidRPr="00460A9F">
        <w:rPr>
          <w:rFonts w:hint="eastAsia"/>
          <w:vertAlign w:val="superscript"/>
        </w:rPr>
        <w:fldChar w:fldCharType="begin"/>
      </w:r>
      <w:r w:rsidR="00BB5647" w:rsidRPr="00460A9F">
        <w:rPr>
          <w:rFonts w:hint="eastAsia"/>
          <w:vertAlign w:val="superscript"/>
        </w:rPr>
        <w:instrText xml:space="preserve"> </w:instrText>
      </w:r>
      <w:r w:rsidR="00BB5647" w:rsidRPr="00460A9F">
        <w:rPr>
          <w:vertAlign w:val="superscript"/>
        </w:rPr>
        <w:instrText>REF _Ref233277917 \r \h</w:instrText>
      </w:r>
      <w:r w:rsidR="00BB5647" w:rsidRPr="00460A9F">
        <w:rPr>
          <w:rFonts w:hint="eastAsia"/>
          <w:vertAlign w:val="superscript"/>
        </w:rPr>
        <w:instrText xml:space="preserve"> </w:instrText>
      </w:r>
      <w:r w:rsidR="00BB5647">
        <w:rPr>
          <w:rFonts w:hint="eastAsia"/>
          <w:vertAlign w:val="superscript"/>
        </w:rPr>
        <w:instrText xml:space="preserve"> \* MERGEFORMAT </w:instrText>
      </w:r>
      <w:r w:rsidR="00BB5647" w:rsidRPr="00460A9F">
        <w:rPr>
          <w:rFonts w:hint="eastAsia"/>
          <w:vertAlign w:val="superscript"/>
        </w:rPr>
      </w:r>
      <w:r w:rsidR="00BB5647" w:rsidRPr="00460A9F">
        <w:rPr>
          <w:rFonts w:hint="eastAsia"/>
          <w:vertAlign w:val="superscript"/>
        </w:rPr>
        <w:fldChar w:fldCharType="separate"/>
      </w:r>
      <w:r w:rsidR="00BB5647" w:rsidRPr="00460A9F">
        <w:rPr>
          <w:rFonts w:hint="eastAsia"/>
          <w:vertAlign w:val="superscript"/>
        </w:rPr>
        <w:t>[6]</w:t>
      </w:r>
      <w:r w:rsidR="00BB5647" w:rsidRPr="00460A9F">
        <w:rPr>
          <w:rFonts w:hint="eastAsia"/>
          <w:vertAlign w:val="superscript"/>
        </w:rPr>
        <w:fldChar w:fldCharType="end"/>
      </w:r>
      <w:r>
        <w:t>从智能数据可视分析视角探讨了大数据可视化的挑战与趋势。</w:t>
      </w:r>
    </w:p>
    <w:p w14:paraId="2118458D" w14:textId="4F997E0B" w:rsidR="004B103D" w:rsidRDefault="00000000">
      <w:pPr>
        <w:spacing w:line="360" w:lineRule="auto"/>
        <w:ind w:firstLine="480"/>
      </w:pPr>
      <w:r>
        <w:t>在</w:t>
      </w:r>
      <w:r>
        <w:t>Python</w:t>
      </w:r>
      <w:r>
        <w:t>可视化工具方面，</w:t>
      </w:r>
      <w:r>
        <w:t>Hunter</w:t>
      </w:r>
      <w:r>
        <w:t>于</w:t>
      </w:r>
      <w:r>
        <w:t>2003</w:t>
      </w:r>
      <w:r>
        <w:t>年创建的</w:t>
      </w:r>
      <w:r>
        <w:t>Matplotlib</w:t>
      </w:r>
      <w:r>
        <w:t>至今仍是</w:t>
      </w:r>
      <w:r>
        <w:t>Python 2D</w:t>
      </w:r>
      <w:r>
        <w:t>绘图的事实标准。</w:t>
      </w:r>
      <w:r>
        <w:t>Waskom</w:t>
      </w:r>
      <w:r>
        <w:t>开发的</w:t>
      </w:r>
      <w:r>
        <w:t>Seaborn</w:t>
      </w:r>
      <w:r>
        <w:t>基于</w:t>
      </w:r>
      <w:r>
        <w:t>Matplotlib</w:t>
      </w:r>
      <w:r>
        <w:t>进行了高级封装，使统计图表绘制更为便捷。</w:t>
      </w:r>
      <w:proofErr w:type="spellStart"/>
      <w:r>
        <w:t>Pyecharts</w:t>
      </w:r>
      <w:proofErr w:type="spellEnd"/>
      <w:r>
        <w:t>作为</w:t>
      </w:r>
      <w:proofErr w:type="spellStart"/>
      <w:r>
        <w:t>ECharts</w:t>
      </w:r>
      <w:proofErr w:type="spellEnd"/>
      <w:r>
        <w:t>的</w:t>
      </w:r>
      <w:r>
        <w:t>Python</w:t>
      </w:r>
      <w:r>
        <w:t>接口，为</w:t>
      </w:r>
      <w:r>
        <w:t>Python</w:t>
      </w:r>
      <w:r>
        <w:t>用户提供了生成交互式</w:t>
      </w:r>
      <w:r>
        <w:t>Web</w:t>
      </w:r>
      <w:r>
        <w:t>图表的能力</w:t>
      </w:r>
      <w:r w:rsidR="00704B80" w:rsidRPr="00460A9F">
        <w:rPr>
          <w:rFonts w:hint="eastAsia"/>
          <w:vertAlign w:val="superscript"/>
        </w:rPr>
        <w:fldChar w:fldCharType="begin"/>
      </w:r>
      <w:r w:rsidR="00704B80" w:rsidRPr="00460A9F">
        <w:rPr>
          <w:rFonts w:hint="eastAsia"/>
          <w:vertAlign w:val="superscript"/>
        </w:rPr>
        <w:instrText xml:space="preserve"> </w:instrText>
      </w:r>
      <w:r w:rsidR="00704B80" w:rsidRPr="00460A9F">
        <w:rPr>
          <w:vertAlign w:val="superscript"/>
        </w:rPr>
        <w:instrText>REF _Ref233277903 \r \h</w:instrText>
      </w:r>
      <w:r w:rsidR="00704B80" w:rsidRPr="00460A9F">
        <w:rPr>
          <w:rFonts w:hint="eastAsia"/>
          <w:vertAlign w:val="superscript"/>
        </w:rPr>
        <w:instrText xml:space="preserve"> </w:instrText>
      </w:r>
      <w:r w:rsidR="00704B80">
        <w:rPr>
          <w:rFonts w:hint="eastAsia"/>
          <w:vertAlign w:val="superscript"/>
        </w:rPr>
        <w:instrText xml:space="preserve"> \* MERGEFORMAT </w:instrText>
      </w:r>
      <w:r w:rsidR="00704B80" w:rsidRPr="00460A9F">
        <w:rPr>
          <w:rFonts w:hint="eastAsia"/>
          <w:vertAlign w:val="superscript"/>
        </w:rPr>
      </w:r>
      <w:r w:rsidR="00704B80" w:rsidRPr="00460A9F">
        <w:rPr>
          <w:rFonts w:hint="eastAsia"/>
          <w:vertAlign w:val="superscript"/>
        </w:rPr>
        <w:fldChar w:fldCharType="separate"/>
      </w:r>
      <w:r w:rsidR="00704B80" w:rsidRPr="00460A9F">
        <w:rPr>
          <w:rFonts w:hint="eastAsia"/>
          <w:vertAlign w:val="superscript"/>
        </w:rPr>
        <w:t>[5]</w:t>
      </w:r>
      <w:r w:rsidR="00704B80" w:rsidRPr="00460A9F">
        <w:rPr>
          <w:rFonts w:hint="eastAsia"/>
          <w:vertAlign w:val="superscript"/>
        </w:rPr>
        <w:fldChar w:fldCharType="end"/>
      </w:r>
      <w:r>
        <w:t>。然而，现有研究多聚焦于单一工具的使用教程，缺乏从设计原则出发、跨越多个库的系统性对比研究。本文正是试图填补这一空白。</w:t>
      </w:r>
    </w:p>
    <w:p w14:paraId="3B30ECAB" w14:textId="77777777" w:rsidR="004B103D" w:rsidRDefault="00000000">
      <w:pPr>
        <w:pStyle w:val="2"/>
        <w:rPr>
          <w:rFonts w:hint="eastAsia"/>
        </w:rPr>
      </w:pPr>
      <w:bookmarkStart w:id="3" w:name="_Toc233276440"/>
      <w:r>
        <w:t>1.3　研究内容与方法</w:t>
      </w:r>
      <w:bookmarkEnd w:id="3"/>
    </w:p>
    <w:p w14:paraId="5EF429AC" w14:textId="77777777" w:rsidR="004B103D" w:rsidRDefault="00000000">
      <w:pPr>
        <w:spacing w:line="360" w:lineRule="auto"/>
        <w:ind w:firstLine="480"/>
      </w:pPr>
      <w:r>
        <w:t>本文采用</w:t>
      </w:r>
      <w:r>
        <w:t>"</w:t>
      </w:r>
      <w:r>
        <w:t>理论分析</w:t>
      </w:r>
      <w:r>
        <w:t>+</w:t>
      </w:r>
      <w:r>
        <w:t>工具对比</w:t>
      </w:r>
      <w:r>
        <w:t>+</w:t>
      </w:r>
      <w:r>
        <w:t>案例验证</w:t>
      </w:r>
      <w:r>
        <w:t>"</w:t>
      </w:r>
      <w:r>
        <w:t>的三段式研究框架。首先，从认知心理学和信息设计理论出发，系统梳理数据可视化的核心设计原则。其次，</w:t>
      </w:r>
      <w:r>
        <w:lastRenderedPageBreak/>
        <w:t>选取</w:t>
      </w:r>
      <w:r>
        <w:t>Python</w:t>
      </w:r>
      <w:r>
        <w:t>生态中的</w:t>
      </w:r>
      <w:r>
        <w:t>Matplotlib</w:t>
      </w:r>
      <w:r>
        <w:t>、</w:t>
      </w:r>
      <w:r>
        <w:t>Seaborn</w:t>
      </w:r>
      <w:r>
        <w:t>和</w:t>
      </w:r>
      <w:proofErr w:type="spellStart"/>
      <w:r>
        <w:t>Pyecharts</w:t>
      </w:r>
      <w:proofErr w:type="spellEnd"/>
      <w:r>
        <w:t>三个代表性可视化库，从架构设计、图表类型、交互能力和编码效率四个维度进行横向对比。再次，提出面向不同数据场景的图表选择策略。最后，基于</w:t>
      </w:r>
      <w:proofErr w:type="gramStart"/>
      <w:r>
        <w:t>星巴克全球门店数据</w:t>
      </w:r>
      <w:proofErr w:type="gramEnd"/>
      <w:r>
        <w:t>集（</w:t>
      </w:r>
      <w:r>
        <w:t>25,600</w:t>
      </w:r>
      <w:r>
        <w:t>条记录，</w:t>
      </w:r>
      <w:r>
        <w:t>73</w:t>
      </w:r>
      <w:r>
        <w:t>个国家</w:t>
      </w:r>
      <w:r>
        <w:t>/</w:t>
      </w:r>
      <w:r>
        <w:t>地区）和泰坦尼克号乘客数据集，运用三大库进行综合可视化实践，验证所述原则和策略的有效性。</w:t>
      </w:r>
    </w:p>
    <w:p w14:paraId="57EF853F" w14:textId="77777777" w:rsidR="004B103D" w:rsidRDefault="00000000">
      <w:pPr>
        <w:pStyle w:val="2"/>
        <w:rPr>
          <w:rFonts w:hint="eastAsia"/>
        </w:rPr>
      </w:pPr>
      <w:bookmarkStart w:id="4" w:name="_Toc233276441"/>
      <w:r>
        <w:t>1.4　论文结构安排</w:t>
      </w:r>
      <w:bookmarkEnd w:id="4"/>
    </w:p>
    <w:p w14:paraId="1AD7B2F5" w14:textId="77777777" w:rsidR="004B103D" w:rsidRDefault="00000000">
      <w:pPr>
        <w:spacing w:line="360" w:lineRule="auto"/>
        <w:ind w:firstLine="480"/>
      </w:pPr>
      <w:r>
        <w:t>本文共分为六章。第一章为引言，阐述研究背景、现状和方法。第二</w:t>
      </w:r>
      <w:proofErr w:type="gramStart"/>
      <w:r>
        <w:t>章理论</w:t>
      </w:r>
      <w:proofErr w:type="gramEnd"/>
      <w:r>
        <w:t>部分，系统梳理数据可视化的设计原则与认知基础。第三章为三大可视化库的对比分析。第四章提出面向不同场景的图表选择指南。第五章为综合案例实践，运用三大库对真实数据集进行可视化分析。第六</w:t>
      </w:r>
      <w:proofErr w:type="gramStart"/>
      <w:r>
        <w:t>章总结</w:t>
      </w:r>
      <w:proofErr w:type="gramEnd"/>
      <w:r>
        <w:t>全文，并展望未来的研究方向。文末附参考文献、致谢和附录。</w:t>
      </w:r>
    </w:p>
    <w:p w14:paraId="25BA5FE3" w14:textId="77777777" w:rsidR="009A651E" w:rsidRDefault="009A651E" w:rsidP="009A651E">
      <w:pPr>
        <w:spacing w:line="360" w:lineRule="auto"/>
      </w:pPr>
    </w:p>
    <w:p w14:paraId="5FF91826" w14:textId="77777777" w:rsidR="004B103D" w:rsidRDefault="00000000">
      <w:pPr>
        <w:pStyle w:val="1"/>
        <w:rPr>
          <w:rFonts w:hint="eastAsia"/>
        </w:rPr>
      </w:pPr>
      <w:bookmarkStart w:id="5" w:name="_Toc233276442"/>
      <w:r>
        <w:t>2　数据可视化设计原则</w:t>
      </w:r>
      <w:bookmarkEnd w:id="5"/>
    </w:p>
    <w:p w14:paraId="72205E04" w14:textId="77777777" w:rsidR="004B103D" w:rsidRDefault="00000000">
      <w:pPr>
        <w:pStyle w:val="2"/>
        <w:rPr>
          <w:rFonts w:hint="eastAsia"/>
        </w:rPr>
      </w:pPr>
      <w:bookmarkStart w:id="6" w:name="_Toc233276443"/>
      <w:r>
        <w:t>2.1　数据可视化的认知基础</w:t>
      </w:r>
      <w:bookmarkEnd w:id="6"/>
    </w:p>
    <w:p w14:paraId="5EC3B517" w14:textId="64EDF3BC" w:rsidR="004B103D" w:rsidRDefault="00000000">
      <w:pPr>
        <w:spacing w:line="360" w:lineRule="auto"/>
        <w:ind w:firstLine="480"/>
      </w:pPr>
      <w:r>
        <w:t>数据可视化的有效性根植于人类视觉认知的基本规律。认知负荷理论（</w:t>
      </w:r>
      <w:r>
        <w:t>Cognitive Load Theory</w:t>
      </w:r>
      <w:r>
        <w:t>）指出，人类的工作记忆容量有限（约为</w:t>
      </w:r>
      <w:r>
        <w:t>7±2</w:t>
      </w:r>
      <w:r>
        <w:t>个组块），因此可视化设计应尽可能减少外在认知负荷，使读者将注意力集中于数据本身所承载的信息</w:t>
      </w:r>
      <w:r w:rsidR="007A4812" w:rsidRPr="007A4812">
        <w:rPr>
          <w:rFonts w:hint="eastAsia"/>
          <w:vertAlign w:val="superscript"/>
        </w:rPr>
        <w:fldChar w:fldCharType="begin"/>
      </w:r>
      <w:r w:rsidR="007A4812" w:rsidRPr="007A4812">
        <w:rPr>
          <w:rFonts w:hint="eastAsia"/>
          <w:vertAlign w:val="superscript"/>
        </w:rPr>
        <w:instrText xml:space="preserve"> </w:instrText>
      </w:r>
      <w:r w:rsidR="007A4812" w:rsidRPr="007A4812">
        <w:rPr>
          <w:vertAlign w:val="superscript"/>
        </w:rPr>
        <w:instrText>REF _Ref233277980 \r \h</w:instrText>
      </w:r>
      <w:r w:rsidR="007A4812" w:rsidRPr="007A4812">
        <w:rPr>
          <w:rFonts w:hint="eastAsia"/>
          <w:vertAlign w:val="superscript"/>
        </w:rPr>
        <w:instrText xml:space="preserve"> </w:instrText>
      </w:r>
      <w:r w:rsidR="007A4812">
        <w:rPr>
          <w:rFonts w:hint="eastAsia"/>
          <w:vertAlign w:val="superscript"/>
        </w:rPr>
        <w:instrText xml:space="preserve"> \* MERGEFORMAT </w:instrText>
      </w:r>
      <w:r w:rsidR="007A4812" w:rsidRPr="007A4812">
        <w:rPr>
          <w:rFonts w:hint="eastAsia"/>
          <w:vertAlign w:val="superscript"/>
        </w:rPr>
      </w:r>
      <w:r w:rsidR="007A4812" w:rsidRPr="007A4812">
        <w:rPr>
          <w:rFonts w:hint="eastAsia"/>
          <w:vertAlign w:val="superscript"/>
        </w:rPr>
        <w:fldChar w:fldCharType="separate"/>
      </w:r>
      <w:r w:rsidR="007A4812" w:rsidRPr="007A4812">
        <w:rPr>
          <w:rFonts w:hint="eastAsia"/>
          <w:vertAlign w:val="superscript"/>
        </w:rPr>
        <w:t>[10]</w:t>
      </w:r>
      <w:r w:rsidR="007A4812" w:rsidRPr="007A4812">
        <w:rPr>
          <w:rFonts w:hint="eastAsia"/>
          <w:vertAlign w:val="superscript"/>
        </w:rPr>
        <w:fldChar w:fldCharType="end"/>
      </w:r>
      <w:r>
        <w:t>。格式塔原理（</w:t>
      </w:r>
      <w:r>
        <w:t>Gestalt Principles</w:t>
      </w:r>
      <w:r>
        <w:t>）为可视化布局提供了重要的心理学依据：接近律提示应将相关的数据元素放置在空间上彼此接近的位置；相似律表明颜色、形状或大小相似的元素会被自动归类为同一组；闭合律则解释了为什么人脑能够自动补全不完整的图形边界</w:t>
      </w:r>
      <w:r w:rsidR="00A90EFA" w:rsidRPr="00A90EFA">
        <w:rPr>
          <w:rFonts w:hint="eastAsia"/>
          <w:vertAlign w:val="superscript"/>
        </w:rPr>
        <w:fldChar w:fldCharType="begin"/>
      </w:r>
      <w:r w:rsidR="00A90EFA" w:rsidRPr="00A90EFA">
        <w:rPr>
          <w:rFonts w:hint="eastAsia"/>
          <w:vertAlign w:val="superscript"/>
        </w:rPr>
        <w:instrText xml:space="preserve"> </w:instrText>
      </w:r>
      <w:r w:rsidR="00A90EFA" w:rsidRPr="00A90EFA">
        <w:rPr>
          <w:vertAlign w:val="superscript"/>
        </w:rPr>
        <w:instrText>REF _Ref233278019 \r \h</w:instrText>
      </w:r>
      <w:r w:rsidR="00A90EFA" w:rsidRPr="00A90EFA">
        <w:rPr>
          <w:rFonts w:hint="eastAsia"/>
          <w:vertAlign w:val="superscript"/>
        </w:rPr>
        <w:instrText xml:space="preserve"> </w:instrText>
      </w:r>
      <w:r w:rsidR="00A90EFA">
        <w:rPr>
          <w:rFonts w:hint="eastAsia"/>
          <w:vertAlign w:val="superscript"/>
        </w:rPr>
        <w:instrText xml:space="preserve"> \* MERGEFORMAT </w:instrText>
      </w:r>
      <w:r w:rsidR="00A90EFA" w:rsidRPr="00A90EFA">
        <w:rPr>
          <w:rFonts w:hint="eastAsia"/>
          <w:vertAlign w:val="superscript"/>
        </w:rPr>
      </w:r>
      <w:r w:rsidR="00A90EFA" w:rsidRPr="00A90EFA">
        <w:rPr>
          <w:rFonts w:hint="eastAsia"/>
          <w:vertAlign w:val="superscript"/>
        </w:rPr>
        <w:fldChar w:fldCharType="separate"/>
      </w:r>
      <w:r w:rsidR="00A90EFA" w:rsidRPr="00A90EFA">
        <w:rPr>
          <w:rFonts w:hint="eastAsia"/>
          <w:vertAlign w:val="superscript"/>
        </w:rPr>
        <w:t>[12]</w:t>
      </w:r>
      <w:r w:rsidR="00A90EFA" w:rsidRPr="00A90EFA">
        <w:rPr>
          <w:rFonts w:hint="eastAsia"/>
          <w:vertAlign w:val="superscript"/>
        </w:rPr>
        <w:fldChar w:fldCharType="end"/>
      </w:r>
      <w:r>
        <w:t>。</w:t>
      </w:r>
    </w:p>
    <w:p w14:paraId="15071417" w14:textId="7D4B6E8C" w:rsidR="004B103D" w:rsidRDefault="00000000">
      <w:pPr>
        <w:spacing w:line="360" w:lineRule="auto"/>
        <w:ind w:firstLine="480"/>
      </w:pPr>
      <w:r>
        <w:t>此外，前注意加工（</w:t>
      </w:r>
      <w:proofErr w:type="spellStart"/>
      <w:r>
        <w:t>Preattentive</w:t>
      </w:r>
      <w:proofErr w:type="spellEnd"/>
      <w:r>
        <w:t xml:space="preserve"> Processing</w:t>
      </w:r>
      <w:r>
        <w:t>）理论揭示了某些视觉特征（如颜色、方向、长度、位置）能在</w:t>
      </w:r>
      <w:r>
        <w:t>200</w:t>
      </w:r>
      <w:r>
        <w:t>毫秒以内被自动检测，无需意识层面的序列搜索</w:t>
      </w:r>
      <w:r w:rsidR="00C24CC4" w:rsidRPr="00C24CC4">
        <w:rPr>
          <w:rFonts w:hint="eastAsia"/>
          <w:vertAlign w:val="superscript"/>
        </w:rPr>
        <w:fldChar w:fldCharType="begin"/>
      </w:r>
      <w:r w:rsidR="00C24CC4" w:rsidRPr="00C24CC4">
        <w:rPr>
          <w:rFonts w:hint="eastAsia"/>
          <w:vertAlign w:val="superscript"/>
        </w:rPr>
        <w:instrText xml:space="preserve"> </w:instrText>
      </w:r>
      <w:r w:rsidR="00C24CC4" w:rsidRPr="00C24CC4">
        <w:rPr>
          <w:vertAlign w:val="superscript"/>
        </w:rPr>
        <w:instrText>REF _Ref233277827 \r \h</w:instrText>
      </w:r>
      <w:r w:rsidR="00C24CC4" w:rsidRPr="00C24CC4">
        <w:rPr>
          <w:rFonts w:hint="eastAsia"/>
          <w:vertAlign w:val="superscript"/>
        </w:rPr>
        <w:instrText xml:space="preserve">  \* MERGEFORMAT </w:instrText>
      </w:r>
      <w:r w:rsidR="00C24CC4" w:rsidRPr="00C24CC4">
        <w:rPr>
          <w:rFonts w:hint="eastAsia"/>
          <w:vertAlign w:val="superscript"/>
        </w:rPr>
      </w:r>
      <w:r w:rsidR="00C24CC4" w:rsidRPr="00C24CC4">
        <w:rPr>
          <w:rFonts w:hint="eastAsia"/>
          <w:vertAlign w:val="superscript"/>
        </w:rPr>
        <w:fldChar w:fldCharType="separate"/>
      </w:r>
      <w:r w:rsidR="00C24CC4" w:rsidRPr="00C24CC4">
        <w:rPr>
          <w:rFonts w:hint="eastAsia"/>
          <w:vertAlign w:val="superscript"/>
        </w:rPr>
        <w:t>[2]</w:t>
      </w:r>
      <w:r w:rsidR="00C24CC4" w:rsidRPr="00C24CC4">
        <w:rPr>
          <w:rFonts w:hint="eastAsia"/>
          <w:vertAlign w:val="superscript"/>
        </w:rPr>
        <w:fldChar w:fldCharType="end"/>
      </w:r>
      <w:r>
        <w:t>。这为可视化编码策略的选择提供了科学依据：应优先使用前注意特征来编码最重要的数据维度，例如</w:t>
      </w:r>
      <w:proofErr w:type="gramStart"/>
      <w:r>
        <w:t>用位置</w:t>
      </w:r>
      <w:proofErr w:type="gramEnd"/>
      <w:r>
        <w:t>编码定量数据，用颜色区分分类数据。</w:t>
      </w:r>
    </w:p>
    <w:p w14:paraId="4B9A7CF0" w14:textId="77777777" w:rsidR="004B103D" w:rsidRDefault="00000000">
      <w:pPr>
        <w:pStyle w:val="2"/>
        <w:rPr>
          <w:rFonts w:hint="eastAsia"/>
        </w:rPr>
      </w:pPr>
      <w:bookmarkStart w:id="7" w:name="_Toc233276444"/>
      <w:r>
        <w:t>2.2　可视化设计四大核心原则</w:t>
      </w:r>
      <w:bookmarkEnd w:id="7"/>
    </w:p>
    <w:p w14:paraId="00B7E114" w14:textId="77777777" w:rsidR="004B103D" w:rsidRDefault="00000000">
      <w:pPr>
        <w:pStyle w:val="3"/>
        <w:rPr>
          <w:rFonts w:hint="eastAsia"/>
        </w:rPr>
      </w:pPr>
      <w:bookmarkStart w:id="8" w:name="_Toc233276445"/>
      <w:r>
        <w:t>2.2.1　准确性原则</w:t>
      </w:r>
      <w:bookmarkEnd w:id="8"/>
    </w:p>
    <w:p w14:paraId="2942603C" w14:textId="0333E1B4" w:rsidR="004B103D" w:rsidRDefault="00000000">
      <w:pPr>
        <w:spacing w:line="360" w:lineRule="auto"/>
        <w:ind w:firstLine="480"/>
      </w:pPr>
      <w:r>
        <w:t>准确性是数据可视化的第一生命线。图表必须以真实、无歧义的方式呈现数据，任何有意或无意的视觉扭曲都将导致错误的信息解读。</w:t>
      </w:r>
      <w:r>
        <w:t>Tufte</w:t>
      </w:r>
      <w:r>
        <w:t>提出的</w:t>
      </w:r>
      <w:r>
        <w:t>"</w:t>
      </w:r>
      <w:r>
        <w:t>谎</w:t>
      </w:r>
      <w:r>
        <w:lastRenderedPageBreak/>
        <w:t>言因子</w:t>
      </w:r>
      <w:r>
        <w:t>"</w:t>
      </w:r>
      <w:r>
        <w:t>（</w:t>
      </w:r>
      <w:r>
        <w:t>Lie Factor</w:t>
      </w:r>
      <w:r>
        <w:t>）概念</w:t>
      </w:r>
      <w:r>
        <w:t>——</w:t>
      </w:r>
      <w:r>
        <w:t>即图形中展示的效应大小与数据中实际效应大小的比值</w:t>
      </w:r>
      <w:r>
        <w:t>——</w:t>
      </w:r>
      <w:r>
        <w:t>为衡量可视化准确性提供了量化指标，理想情况下该值应接近</w:t>
      </w:r>
      <w:r>
        <w:t>1.0</w:t>
      </w:r>
      <w:r w:rsidR="00C24CC4" w:rsidRPr="00C24CC4">
        <w:rPr>
          <w:rFonts w:hint="eastAsia"/>
          <w:vertAlign w:val="superscript"/>
        </w:rPr>
        <w:fldChar w:fldCharType="begin"/>
      </w:r>
      <w:r w:rsidR="00C24CC4" w:rsidRPr="00C24CC4">
        <w:rPr>
          <w:rFonts w:hint="eastAsia"/>
          <w:vertAlign w:val="superscript"/>
        </w:rPr>
        <w:instrText xml:space="preserve"> </w:instrText>
      </w:r>
      <w:r w:rsidR="00C24CC4" w:rsidRPr="00C24CC4">
        <w:rPr>
          <w:vertAlign w:val="superscript"/>
        </w:rPr>
        <w:instrText>REF _Ref233277732 \r \h</w:instrText>
      </w:r>
      <w:r w:rsidR="00C24CC4" w:rsidRPr="00C24CC4">
        <w:rPr>
          <w:rFonts w:hint="eastAsia"/>
          <w:vertAlign w:val="superscript"/>
        </w:rPr>
        <w:instrText xml:space="preserve">  \* MERGEFORMAT </w:instrText>
      </w:r>
      <w:r w:rsidR="00C24CC4" w:rsidRPr="00C24CC4">
        <w:rPr>
          <w:rFonts w:hint="eastAsia"/>
          <w:vertAlign w:val="superscript"/>
        </w:rPr>
      </w:r>
      <w:r w:rsidR="00C24CC4" w:rsidRPr="00C24CC4">
        <w:rPr>
          <w:rFonts w:hint="eastAsia"/>
          <w:vertAlign w:val="superscript"/>
        </w:rPr>
        <w:fldChar w:fldCharType="separate"/>
      </w:r>
      <w:r w:rsidR="00C24CC4" w:rsidRPr="00C24CC4">
        <w:rPr>
          <w:rFonts w:hint="eastAsia"/>
          <w:vertAlign w:val="superscript"/>
        </w:rPr>
        <w:t>[1]</w:t>
      </w:r>
      <w:r w:rsidR="00C24CC4" w:rsidRPr="00C24CC4">
        <w:rPr>
          <w:rFonts w:hint="eastAsia"/>
          <w:vertAlign w:val="superscript"/>
        </w:rPr>
        <w:fldChar w:fldCharType="end"/>
      </w:r>
      <w:r>
        <w:t>。在实践中，</w:t>
      </w:r>
      <w:r>
        <w:t>y</w:t>
      </w:r>
      <w:r>
        <w:t>轴截断、三维效果的不当使用、面积与长度的混淆等都是导致准确性下降的常见问题。本文建议优先使用二维图表，避免不必要的装饰效果，并始终以零基线作为柱形图的</w:t>
      </w:r>
      <w:r>
        <w:t>y</w:t>
      </w:r>
      <w:r>
        <w:t>轴起点。</w:t>
      </w:r>
    </w:p>
    <w:p w14:paraId="72729877" w14:textId="77777777" w:rsidR="004B103D" w:rsidRDefault="00000000">
      <w:pPr>
        <w:pStyle w:val="3"/>
        <w:rPr>
          <w:rFonts w:hint="eastAsia"/>
        </w:rPr>
      </w:pPr>
      <w:bookmarkStart w:id="9" w:name="_Toc233276446"/>
      <w:r>
        <w:t>2.2.2　清晰性原则</w:t>
      </w:r>
      <w:bookmarkEnd w:id="9"/>
    </w:p>
    <w:p w14:paraId="314FFB30" w14:textId="77777777" w:rsidR="004B103D" w:rsidRDefault="00000000">
      <w:pPr>
        <w:spacing w:line="360" w:lineRule="auto"/>
        <w:ind w:firstLine="480"/>
      </w:pPr>
      <w:r>
        <w:t>清晰性原则要求图表在最短时间内传递</w:t>
      </w:r>
      <w:proofErr w:type="gramStart"/>
      <w:r>
        <w:t>最</w:t>
      </w:r>
      <w:proofErr w:type="gramEnd"/>
      <w:r>
        <w:t>核心的信息。具体而言：标题应准确概括图表内容；坐标轴标签应包含单位和数据来源说明；图例应在必要时出现，并在无关紧要时省略；网格线应使用浅色细线，避免喧宾夺主；数据标签在数据点较少时可直接标注，但在数据密集时应省略，转而依赖坐标轴刻度。</w:t>
      </w:r>
    </w:p>
    <w:p w14:paraId="64643C86" w14:textId="77777777" w:rsidR="004B103D" w:rsidRDefault="00000000">
      <w:pPr>
        <w:pStyle w:val="3"/>
        <w:rPr>
          <w:rFonts w:hint="eastAsia"/>
        </w:rPr>
      </w:pPr>
      <w:bookmarkStart w:id="10" w:name="_Toc233276447"/>
      <w:r>
        <w:t>2.2.3　有效性原则</w:t>
      </w:r>
      <w:bookmarkEnd w:id="10"/>
    </w:p>
    <w:p w14:paraId="7472C395" w14:textId="04640E5D" w:rsidR="004B103D" w:rsidRDefault="00000000">
      <w:pPr>
        <w:spacing w:line="360" w:lineRule="auto"/>
        <w:ind w:firstLine="480"/>
      </w:pPr>
      <w:r>
        <w:t>有效性原则关注图表类型与数据特征之间的匹配关系。</w:t>
      </w:r>
      <w:r>
        <w:t>Cleveland</w:t>
      </w:r>
      <w:r>
        <w:t>和</w:t>
      </w:r>
      <w:r>
        <w:t>McGill</w:t>
      </w:r>
      <w:r>
        <w:t>通过大量实验建立了视觉编码通道的感知精度排序：位置（</w:t>
      </w:r>
      <w:proofErr w:type="gramStart"/>
      <w:r>
        <w:t>沿共同</w:t>
      </w:r>
      <w:proofErr w:type="gramEnd"/>
      <w:r>
        <w:t>尺度）</w:t>
      </w:r>
      <w:r>
        <w:t xml:space="preserve">&gt; </w:t>
      </w:r>
      <w:r>
        <w:t>长度</w:t>
      </w:r>
      <w:r>
        <w:t xml:space="preserve"> &gt; </w:t>
      </w:r>
      <w:r>
        <w:t>角度</w:t>
      </w:r>
      <w:r>
        <w:t>/</w:t>
      </w:r>
      <w:r>
        <w:t>斜率</w:t>
      </w:r>
      <w:r>
        <w:t xml:space="preserve"> &gt; </w:t>
      </w:r>
      <w:r>
        <w:t>面积</w:t>
      </w:r>
      <w:r>
        <w:t xml:space="preserve"> &gt; </w:t>
      </w:r>
      <w:r>
        <w:t>体积</w:t>
      </w:r>
      <w:r>
        <w:t xml:space="preserve"> &gt; </w:t>
      </w:r>
      <w:r>
        <w:t>颜色饱和度</w:t>
      </w:r>
      <w:r w:rsidR="00C24CC4" w:rsidRPr="00C24CC4">
        <w:rPr>
          <w:rFonts w:hint="eastAsia"/>
          <w:vertAlign w:val="superscript"/>
        </w:rPr>
        <w:fldChar w:fldCharType="begin"/>
      </w:r>
      <w:r w:rsidR="00C24CC4" w:rsidRPr="00C24CC4">
        <w:rPr>
          <w:rFonts w:hint="eastAsia"/>
          <w:vertAlign w:val="superscript"/>
        </w:rPr>
        <w:instrText xml:space="preserve"> </w:instrText>
      </w:r>
      <w:r w:rsidR="00C24CC4" w:rsidRPr="00C24CC4">
        <w:rPr>
          <w:vertAlign w:val="superscript"/>
        </w:rPr>
        <w:instrText>REF _Ref233277732 \r \h</w:instrText>
      </w:r>
      <w:r w:rsidR="00C24CC4" w:rsidRPr="00C24CC4">
        <w:rPr>
          <w:rFonts w:hint="eastAsia"/>
          <w:vertAlign w:val="superscript"/>
        </w:rPr>
        <w:instrText xml:space="preserve">  \* MERGEFORMAT </w:instrText>
      </w:r>
      <w:r w:rsidR="00C24CC4" w:rsidRPr="00C24CC4">
        <w:rPr>
          <w:rFonts w:hint="eastAsia"/>
          <w:vertAlign w:val="superscript"/>
        </w:rPr>
      </w:r>
      <w:r w:rsidR="00C24CC4" w:rsidRPr="00C24CC4">
        <w:rPr>
          <w:rFonts w:hint="eastAsia"/>
          <w:vertAlign w:val="superscript"/>
        </w:rPr>
        <w:fldChar w:fldCharType="separate"/>
      </w:r>
      <w:r w:rsidR="00C24CC4" w:rsidRPr="00C24CC4">
        <w:rPr>
          <w:rFonts w:hint="eastAsia"/>
          <w:vertAlign w:val="superscript"/>
        </w:rPr>
        <w:t>[1]</w:t>
      </w:r>
      <w:r w:rsidR="00C24CC4" w:rsidRPr="00C24CC4">
        <w:rPr>
          <w:rFonts w:hint="eastAsia"/>
          <w:vertAlign w:val="superscript"/>
        </w:rPr>
        <w:fldChar w:fldCharType="end"/>
      </w:r>
      <w:r>
        <w:t>。这一排序为图表选型提供了科学依据：当需要精确比较数值时，应优先使用点图或柱形图（利用位置编码）；当展示整体中各部分的占比时，饼图（角度编码）或堆叠柱形图（位置编码）各有优劣；当展示数据分布时，箱线图、小提琴图或直方图均为常见选择。</w:t>
      </w:r>
    </w:p>
    <w:p w14:paraId="71C62256" w14:textId="77777777" w:rsidR="004B103D" w:rsidRDefault="00000000">
      <w:pPr>
        <w:pStyle w:val="3"/>
        <w:rPr>
          <w:rFonts w:hint="eastAsia"/>
        </w:rPr>
      </w:pPr>
      <w:bookmarkStart w:id="11" w:name="_Toc233276448"/>
      <w:r>
        <w:t>2.2.4　美观性原则</w:t>
      </w:r>
      <w:bookmarkEnd w:id="11"/>
    </w:p>
    <w:p w14:paraId="59203D25" w14:textId="20CA6B2F" w:rsidR="004B103D" w:rsidRDefault="00000000">
      <w:pPr>
        <w:spacing w:line="360" w:lineRule="auto"/>
        <w:ind w:firstLine="480"/>
      </w:pPr>
      <w:r>
        <w:t>虽然美观性不直接影响数据传达的准确性，但一个视觉上令人愉悦的图表更容易吸引读者注意并延长其停留时间，从而间接提高信息传递的效率。美观性的实现依赖于配色方案的精心选择、字体排印的恰当运用、空白区域的合理留白、以及元素对齐和比例协调</w:t>
      </w:r>
      <w:r w:rsidR="00645492" w:rsidRPr="00645492">
        <w:rPr>
          <w:rFonts w:hint="eastAsia"/>
          <w:vertAlign w:val="superscript"/>
        </w:rPr>
        <w:fldChar w:fldCharType="begin"/>
      </w:r>
      <w:r w:rsidR="00645492" w:rsidRPr="00645492">
        <w:rPr>
          <w:rFonts w:hint="eastAsia"/>
          <w:vertAlign w:val="superscript"/>
        </w:rPr>
        <w:instrText xml:space="preserve"> </w:instrText>
      </w:r>
      <w:r w:rsidR="00645492" w:rsidRPr="00645492">
        <w:rPr>
          <w:vertAlign w:val="superscript"/>
        </w:rPr>
        <w:instrText>REF _Ref233277958 \r \h</w:instrText>
      </w:r>
      <w:r w:rsidR="00645492" w:rsidRPr="00645492">
        <w:rPr>
          <w:rFonts w:hint="eastAsia"/>
          <w:vertAlign w:val="superscript"/>
        </w:rPr>
        <w:instrText xml:space="preserve"> </w:instrText>
      </w:r>
      <w:r w:rsidR="00645492">
        <w:rPr>
          <w:rFonts w:hint="eastAsia"/>
          <w:vertAlign w:val="superscript"/>
        </w:rPr>
        <w:instrText xml:space="preserve"> \* MERGEFORMAT </w:instrText>
      </w:r>
      <w:r w:rsidR="00645492" w:rsidRPr="00645492">
        <w:rPr>
          <w:rFonts w:hint="eastAsia"/>
          <w:vertAlign w:val="superscript"/>
        </w:rPr>
      </w:r>
      <w:r w:rsidR="00645492" w:rsidRPr="00645492">
        <w:rPr>
          <w:rFonts w:hint="eastAsia"/>
          <w:vertAlign w:val="superscript"/>
        </w:rPr>
        <w:fldChar w:fldCharType="separate"/>
      </w:r>
      <w:r w:rsidR="00645492" w:rsidRPr="00645492">
        <w:rPr>
          <w:rFonts w:hint="eastAsia"/>
          <w:vertAlign w:val="superscript"/>
        </w:rPr>
        <w:t>[9]</w:t>
      </w:r>
      <w:r w:rsidR="00645492" w:rsidRPr="00645492">
        <w:rPr>
          <w:rFonts w:hint="eastAsia"/>
          <w:vertAlign w:val="superscript"/>
        </w:rPr>
        <w:fldChar w:fldCharType="end"/>
      </w:r>
      <w:r>
        <w:t>。</w:t>
      </w:r>
      <w:r>
        <w:t>Seaborn</w:t>
      </w:r>
      <w:proofErr w:type="gramStart"/>
      <w:r>
        <w:t>库正是</w:t>
      </w:r>
      <w:proofErr w:type="gramEnd"/>
      <w:r>
        <w:t>因为内置了多种经过精心设计的默认样式和配色方案，使得即使用户不进行额外设置，也能生成外观专业的统计图表。</w:t>
      </w:r>
    </w:p>
    <w:p w14:paraId="44D690AE" w14:textId="77777777" w:rsidR="004B103D" w:rsidRDefault="00000000">
      <w:pPr>
        <w:pStyle w:val="2"/>
        <w:rPr>
          <w:rFonts w:hint="eastAsia"/>
        </w:rPr>
      </w:pPr>
      <w:bookmarkStart w:id="12" w:name="_Toc233276449"/>
      <w:r>
        <w:t>2.3　常见可视化误区与规避策略</w:t>
      </w:r>
      <w:bookmarkEnd w:id="12"/>
    </w:p>
    <w:p w14:paraId="76792DB0" w14:textId="77777777" w:rsidR="004B103D" w:rsidRDefault="00000000">
      <w:pPr>
        <w:spacing w:line="360" w:lineRule="auto"/>
        <w:ind w:firstLine="480"/>
      </w:pPr>
      <w:r>
        <w:t>在可视化实践中，常见误区包括：数据失真（</w:t>
      </w:r>
      <w:r>
        <w:t>y</w:t>
      </w:r>
      <w:proofErr w:type="gramStart"/>
      <w:r>
        <w:t>轴非零</w:t>
      </w:r>
      <w:proofErr w:type="gramEnd"/>
      <w:r>
        <w:t>起点导致比例扭曲）、信息过载（单图数据系列过多或颜色种类过多）、图表误用（如用折线图展示分类数据）、装饰过度（无意义的渐变填充和背景图案）、标注缺失（无单位标注或无数据来源）。有效规避这些误区的方法包括：建立标注检查</w:t>
      </w:r>
      <w:r>
        <w:lastRenderedPageBreak/>
        <w:t>清单，逐项核对；遵循</w:t>
      </w:r>
      <w:r>
        <w:t>"</w:t>
      </w:r>
      <w:r>
        <w:t>数据</w:t>
      </w:r>
      <w:r>
        <w:t>-</w:t>
      </w:r>
      <w:r>
        <w:t>墨水比</w:t>
      </w:r>
      <w:r>
        <w:t>"</w:t>
      </w:r>
      <w:r>
        <w:t>最大化原则，去除图表垃圾（</w:t>
      </w:r>
      <w:proofErr w:type="spellStart"/>
      <w:r>
        <w:t>chartjunk</w:t>
      </w:r>
      <w:proofErr w:type="spellEnd"/>
      <w:r>
        <w:t>）；在完成图表后请他人</w:t>
      </w:r>
      <w:r>
        <w:t>"</w:t>
      </w:r>
      <w:proofErr w:type="gramStart"/>
      <w:r>
        <w:t>盲测</w:t>
      </w:r>
      <w:proofErr w:type="gramEnd"/>
      <w:r>
        <w:t>"</w:t>
      </w:r>
      <w:r>
        <w:t>理解等。</w:t>
      </w:r>
    </w:p>
    <w:p w14:paraId="21DAA7E9" w14:textId="77777777" w:rsidR="004B103D" w:rsidRDefault="00000000">
      <w:pPr>
        <w:spacing w:before="120" w:after="60"/>
        <w:jc w:val="center"/>
      </w:pPr>
      <w:r>
        <w:rPr>
          <w:noProof/>
        </w:rPr>
        <w:drawing>
          <wp:inline distT="0" distB="0" distL="0" distR="0" wp14:anchorId="33F57BC9" wp14:editId="6B9A907B">
            <wp:extent cx="5143500" cy="2095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095500"/>
                    </a:xfrm>
                    <a:prstGeom prst="rect">
                      <a:avLst/>
                    </a:prstGeom>
                  </pic:spPr>
                </pic:pic>
              </a:graphicData>
            </a:graphic>
          </wp:inline>
        </w:drawing>
      </w:r>
    </w:p>
    <w:p w14:paraId="5C684992" w14:textId="77777777" w:rsidR="004B103D" w:rsidRDefault="00000000">
      <w:pPr>
        <w:spacing w:before="60" w:line="360" w:lineRule="auto"/>
        <w:jc w:val="center"/>
      </w:pPr>
      <w:r>
        <w:rPr>
          <w:sz w:val="21"/>
          <w:szCs w:val="21"/>
        </w:rPr>
        <w:t>图</w:t>
      </w:r>
      <w:r>
        <w:rPr>
          <w:sz w:val="21"/>
          <w:szCs w:val="21"/>
        </w:rPr>
        <w:t>2-1</w:t>
      </w:r>
      <w:r>
        <w:rPr>
          <w:sz w:val="21"/>
          <w:szCs w:val="21"/>
        </w:rPr>
        <w:t xml:space="preserve">　数据可视化美化前后对比效果</w:t>
      </w:r>
    </w:p>
    <w:p w14:paraId="27DB3B29" w14:textId="77777777" w:rsidR="004B103D" w:rsidRDefault="004B103D">
      <w:pPr>
        <w:spacing w:line="360" w:lineRule="auto"/>
      </w:pPr>
    </w:p>
    <w:p w14:paraId="2079548F" w14:textId="77777777" w:rsidR="004B103D" w:rsidRDefault="00000000">
      <w:pPr>
        <w:pStyle w:val="1"/>
        <w:rPr>
          <w:rFonts w:hint="eastAsia"/>
        </w:rPr>
      </w:pPr>
      <w:bookmarkStart w:id="13" w:name="_Toc233276450"/>
      <w:r>
        <w:t>3　Python三大可视化库对比分析</w:t>
      </w:r>
      <w:bookmarkEnd w:id="13"/>
    </w:p>
    <w:p w14:paraId="69ADC26C" w14:textId="77777777" w:rsidR="004B103D" w:rsidRDefault="00000000">
      <w:pPr>
        <w:pStyle w:val="2"/>
        <w:rPr>
          <w:rFonts w:hint="eastAsia"/>
        </w:rPr>
      </w:pPr>
      <w:bookmarkStart w:id="14" w:name="_Toc233276451"/>
      <w:r>
        <w:t>3.1　Matplotlib：基础绘图引擎</w:t>
      </w:r>
      <w:bookmarkEnd w:id="14"/>
    </w:p>
    <w:p w14:paraId="4A088638" w14:textId="28DFD482" w:rsidR="004B103D" w:rsidRDefault="00000000">
      <w:pPr>
        <w:spacing w:line="360" w:lineRule="auto"/>
        <w:ind w:firstLine="480"/>
      </w:pPr>
      <w:r>
        <w:t>Matplotlib</w:t>
      </w:r>
      <w:r>
        <w:t>是</w:t>
      </w:r>
      <w:r>
        <w:t>Python</w:t>
      </w:r>
      <w:r>
        <w:t>数据可视化生态的基石，由</w:t>
      </w:r>
      <w:r>
        <w:t>John D. Hunter</w:t>
      </w:r>
      <w:r>
        <w:t>于</w:t>
      </w:r>
      <w:r>
        <w:t>2003</w:t>
      </w:r>
      <w:r>
        <w:t>年创建。其设计哲学受到了</w:t>
      </w:r>
      <w:r>
        <w:t>MATLAB</w:t>
      </w:r>
      <w:r>
        <w:t>绘图功能的深刻影响，采用</w:t>
      </w:r>
      <w:r>
        <w:t>"</w:t>
      </w:r>
      <w:r>
        <w:t>面向对象</w:t>
      </w:r>
      <w:r>
        <w:t>"</w:t>
      </w:r>
      <w:r>
        <w:t>与</w:t>
      </w:r>
      <w:r>
        <w:t>"</w:t>
      </w:r>
      <w:proofErr w:type="spellStart"/>
      <w:r>
        <w:t>pyplot</w:t>
      </w:r>
      <w:proofErr w:type="spellEnd"/>
      <w:r>
        <w:t>状态机</w:t>
      </w:r>
      <w:r>
        <w:t>"</w:t>
      </w:r>
      <w:r>
        <w:t>双</w:t>
      </w:r>
      <w:r>
        <w:t>API</w:t>
      </w:r>
      <w:r>
        <w:t>架构，赋予用户从图形元素级别（</w:t>
      </w:r>
      <w:r>
        <w:t>Figure</w:t>
      </w:r>
      <w:r>
        <w:t>、</w:t>
      </w:r>
      <w:r>
        <w:t>Axes</w:t>
      </w:r>
      <w:r>
        <w:t>、</w:t>
      </w:r>
      <w:r>
        <w:t>Axis</w:t>
      </w:r>
      <w:r>
        <w:t>、</w:t>
      </w:r>
      <w:r>
        <w:t>Artist</w:t>
      </w:r>
      <w:r>
        <w:t>）进行精细控制的能力。</w:t>
      </w:r>
      <w:r>
        <w:t>Matplotlib</w:t>
      </w:r>
      <w:r>
        <w:t>的核心优势在于：一是高度可定制性，几乎图形的每一个像素都可以通过代码控制；二是广泛的图表类型覆盖，支持折线图、散点图、柱形图、饼图、直方图、等高线图、</w:t>
      </w:r>
      <w:r>
        <w:t>3D</w:t>
      </w:r>
      <w:r>
        <w:t>图等</w:t>
      </w:r>
      <w:r w:rsidR="00C24CC4" w:rsidRPr="00C24CC4">
        <w:rPr>
          <w:rFonts w:hint="eastAsia"/>
          <w:vertAlign w:val="superscript"/>
        </w:rPr>
        <w:fldChar w:fldCharType="begin"/>
      </w:r>
      <w:r w:rsidR="00C24CC4" w:rsidRPr="00C24CC4">
        <w:rPr>
          <w:rFonts w:hint="eastAsia"/>
          <w:vertAlign w:val="superscript"/>
        </w:rPr>
        <w:instrText xml:space="preserve"> </w:instrText>
      </w:r>
      <w:r w:rsidR="00C24CC4" w:rsidRPr="00C24CC4">
        <w:rPr>
          <w:vertAlign w:val="superscript"/>
        </w:rPr>
        <w:instrText>REF _Ref233277849 \r \h</w:instrText>
      </w:r>
      <w:r w:rsidR="00C24CC4" w:rsidRPr="00C24CC4">
        <w:rPr>
          <w:rFonts w:hint="eastAsia"/>
          <w:vertAlign w:val="superscript"/>
        </w:rPr>
        <w:instrText xml:space="preserve"> </w:instrText>
      </w:r>
      <w:r w:rsidR="00C24CC4">
        <w:rPr>
          <w:rFonts w:hint="eastAsia"/>
          <w:vertAlign w:val="superscript"/>
        </w:rPr>
        <w:instrText xml:space="preserve"> \* MERGEFORMAT </w:instrText>
      </w:r>
      <w:r w:rsidR="00C24CC4" w:rsidRPr="00C24CC4">
        <w:rPr>
          <w:rFonts w:hint="eastAsia"/>
          <w:vertAlign w:val="superscript"/>
        </w:rPr>
      </w:r>
      <w:r w:rsidR="00C24CC4" w:rsidRPr="00C24CC4">
        <w:rPr>
          <w:rFonts w:hint="eastAsia"/>
          <w:vertAlign w:val="superscript"/>
        </w:rPr>
        <w:fldChar w:fldCharType="separate"/>
      </w:r>
      <w:r w:rsidR="00C24CC4" w:rsidRPr="00C24CC4">
        <w:rPr>
          <w:rFonts w:hint="eastAsia"/>
          <w:vertAlign w:val="superscript"/>
        </w:rPr>
        <w:t>[3]</w:t>
      </w:r>
      <w:r w:rsidR="00C24CC4" w:rsidRPr="00C24CC4">
        <w:rPr>
          <w:rFonts w:hint="eastAsia"/>
          <w:vertAlign w:val="superscript"/>
        </w:rPr>
        <w:fldChar w:fldCharType="end"/>
      </w:r>
      <w:r w:rsidR="00C24CC4" w:rsidRPr="00C24CC4">
        <w:rPr>
          <w:rFonts w:hint="eastAsia"/>
          <w:vertAlign w:val="superscript"/>
        </w:rPr>
        <w:fldChar w:fldCharType="begin"/>
      </w:r>
      <w:r w:rsidR="00C24CC4" w:rsidRPr="00C24CC4">
        <w:rPr>
          <w:rFonts w:hint="eastAsia"/>
          <w:vertAlign w:val="superscript"/>
        </w:rPr>
        <w:instrText xml:space="preserve"> REF _Ref233277861 \r \h </w:instrText>
      </w:r>
      <w:r w:rsidR="00C24CC4">
        <w:rPr>
          <w:rFonts w:hint="eastAsia"/>
          <w:vertAlign w:val="superscript"/>
        </w:rPr>
        <w:instrText xml:space="preserve"> \* MERGEFORMAT </w:instrText>
      </w:r>
      <w:r w:rsidR="00C24CC4" w:rsidRPr="00C24CC4">
        <w:rPr>
          <w:rFonts w:hint="eastAsia"/>
          <w:vertAlign w:val="superscript"/>
        </w:rPr>
      </w:r>
      <w:r w:rsidR="00C24CC4" w:rsidRPr="00C24CC4">
        <w:rPr>
          <w:rFonts w:hint="eastAsia"/>
          <w:vertAlign w:val="superscript"/>
        </w:rPr>
        <w:fldChar w:fldCharType="separate"/>
      </w:r>
      <w:r w:rsidR="00C24CC4" w:rsidRPr="00C24CC4">
        <w:rPr>
          <w:rFonts w:hint="eastAsia"/>
          <w:vertAlign w:val="superscript"/>
        </w:rPr>
        <w:t>[4]</w:t>
      </w:r>
      <w:r w:rsidR="00C24CC4" w:rsidRPr="00C24CC4">
        <w:rPr>
          <w:rFonts w:hint="eastAsia"/>
          <w:vertAlign w:val="superscript"/>
        </w:rPr>
        <w:fldChar w:fldCharType="end"/>
      </w:r>
      <w:r>
        <w:t>；三是成熟的社区生态和丰富的文档资源；四是与</w:t>
      </w:r>
      <w:r>
        <w:t>NumPy</w:t>
      </w:r>
      <w:r>
        <w:t>、</w:t>
      </w:r>
      <w:r>
        <w:t>Pandas</w:t>
      </w:r>
      <w:r>
        <w:t>等数据处理库的无缝集成。</w:t>
      </w:r>
    </w:p>
    <w:p w14:paraId="4411FC24" w14:textId="77777777" w:rsidR="004B103D" w:rsidRDefault="00000000">
      <w:pPr>
        <w:spacing w:line="360" w:lineRule="auto"/>
        <w:ind w:firstLine="480"/>
      </w:pPr>
      <w:r>
        <w:t>然而，</w:t>
      </w:r>
      <w:r>
        <w:t>Matplotlib</w:t>
      </w:r>
      <w:r>
        <w:t>的默认样式较为朴素，生成具有出版级美观度的图表需要编写大量样式代码；交互式功能支持有限，默认生成的是静态位图。因此，</w:t>
      </w:r>
      <w:r>
        <w:t>Matplotlib</w:t>
      </w:r>
      <w:r>
        <w:t>最适合需要高度定制化的出版级图表和科学计算领域的专业图表。</w:t>
      </w:r>
    </w:p>
    <w:p w14:paraId="0102DD34" w14:textId="77777777" w:rsidR="004B103D" w:rsidRDefault="00000000">
      <w:pPr>
        <w:spacing w:before="120" w:after="60"/>
        <w:jc w:val="center"/>
      </w:pPr>
      <w:r>
        <w:rPr>
          <w:noProof/>
        </w:rPr>
        <w:lastRenderedPageBreak/>
        <w:drawing>
          <wp:inline distT="0" distB="0" distL="0" distR="0" wp14:anchorId="23A59CF2" wp14:editId="2382B6E0">
            <wp:extent cx="4762500" cy="4000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4000500"/>
                    </a:xfrm>
                    <a:prstGeom prst="rect">
                      <a:avLst/>
                    </a:prstGeom>
                  </pic:spPr>
                </pic:pic>
              </a:graphicData>
            </a:graphic>
          </wp:inline>
        </w:drawing>
      </w:r>
    </w:p>
    <w:p w14:paraId="65ECCB7C" w14:textId="77777777" w:rsidR="004B103D" w:rsidRDefault="00000000">
      <w:pPr>
        <w:spacing w:before="60" w:line="360" w:lineRule="auto"/>
        <w:jc w:val="center"/>
      </w:pPr>
      <w:r>
        <w:rPr>
          <w:sz w:val="21"/>
          <w:szCs w:val="21"/>
        </w:rPr>
        <w:t>图</w:t>
      </w:r>
      <w:r>
        <w:rPr>
          <w:sz w:val="21"/>
          <w:szCs w:val="21"/>
        </w:rPr>
        <w:t>3-1</w:t>
      </w:r>
      <w:r>
        <w:rPr>
          <w:sz w:val="21"/>
          <w:szCs w:val="21"/>
        </w:rPr>
        <w:t xml:space="preserve">　</w:t>
      </w:r>
      <w:r>
        <w:rPr>
          <w:sz w:val="21"/>
          <w:szCs w:val="21"/>
        </w:rPr>
        <w:t>Matplotlib</w:t>
      </w:r>
      <w:r>
        <w:rPr>
          <w:sz w:val="21"/>
          <w:szCs w:val="21"/>
        </w:rPr>
        <w:t>基础图表示例（折线图、散点图、柱形图、饼图）</w:t>
      </w:r>
    </w:p>
    <w:p w14:paraId="48474BB5" w14:textId="77777777" w:rsidR="004B103D" w:rsidRDefault="004B103D">
      <w:pPr>
        <w:spacing w:line="360" w:lineRule="auto"/>
      </w:pPr>
    </w:p>
    <w:p w14:paraId="72304720" w14:textId="77777777" w:rsidR="004B103D" w:rsidRDefault="00000000">
      <w:pPr>
        <w:pStyle w:val="2"/>
        <w:rPr>
          <w:rFonts w:hint="eastAsia"/>
        </w:rPr>
      </w:pPr>
      <w:bookmarkStart w:id="15" w:name="_Toc233276452"/>
      <w:r>
        <w:t>3.2　Seaborn：统计可视化利器</w:t>
      </w:r>
      <w:bookmarkEnd w:id="15"/>
    </w:p>
    <w:p w14:paraId="412597CD" w14:textId="4E660936" w:rsidR="004B103D" w:rsidRDefault="00000000">
      <w:pPr>
        <w:spacing w:line="360" w:lineRule="auto"/>
        <w:ind w:firstLine="480"/>
      </w:pPr>
      <w:r>
        <w:t>Seaborn</w:t>
      </w:r>
      <w:r>
        <w:t>由</w:t>
      </w:r>
      <w:r>
        <w:t>Michael Waskom</w:t>
      </w:r>
      <w:r>
        <w:t>于</w:t>
      </w:r>
      <w:r>
        <w:t>2012</w:t>
      </w:r>
      <w:r>
        <w:t>年创建，是建立在</w:t>
      </w:r>
      <w:r>
        <w:t>Matplotlib</w:t>
      </w:r>
      <w:r>
        <w:t>之上的高级统计可视化库。</w:t>
      </w:r>
      <w:r>
        <w:t>Seaborn</w:t>
      </w:r>
      <w:r>
        <w:t>的设计目标非常明确：提供一套简洁的</w:t>
      </w:r>
      <w:r>
        <w:t>API</w:t>
      </w:r>
      <w:r>
        <w:t>，使常见的统计图表（如分布图、回归图、分类图、矩阵图等）能够以最少的代码量生成美观的结果</w:t>
      </w:r>
      <w:r w:rsidR="007A4812" w:rsidRPr="007A4812">
        <w:rPr>
          <w:rFonts w:hint="eastAsia"/>
          <w:vertAlign w:val="superscript"/>
        </w:rPr>
        <w:fldChar w:fldCharType="begin"/>
      </w:r>
      <w:r w:rsidR="007A4812" w:rsidRPr="007A4812">
        <w:rPr>
          <w:rFonts w:hint="eastAsia"/>
          <w:vertAlign w:val="superscript"/>
        </w:rPr>
        <w:instrText xml:space="preserve"> </w:instrText>
      </w:r>
      <w:r w:rsidR="007A4812" w:rsidRPr="007A4812">
        <w:rPr>
          <w:vertAlign w:val="superscript"/>
        </w:rPr>
        <w:instrText>REF _Ref233277931 \r \h</w:instrText>
      </w:r>
      <w:r w:rsidR="007A4812" w:rsidRPr="007A4812">
        <w:rPr>
          <w:rFonts w:hint="eastAsia"/>
          <w:vertAlign w:val="superscript"/>
        </w:rPr>
        <w:instrText xml:space="preserve"> </w:instrText>
      </w:r>
      <w:r w:rsidR="007A4812">
        <w:rPr>
          <w:rFonts w:hint="eastAsia"/>
          <w:vertAlign w:val="superscript"/>
        </w:rPr>
        <w:instrText xml:space="preserve"> \* MERGEFORMAT </w:instrText>
      </w:r>
      <w:r w:rsidR="007A4812" w:rsidRPr="007A4812">
        <w:rPr>
          <w:rFonts w:hint="eastAsia"/>
          <w:vertAlign w:val="superscript"/>
        </w:rPr>
      </w:r>
      <w:r w:rsidR="007A4812" w:rsidRPr="007A4812">
        <w:rPr>
          <w:rFonts w:hint="eastAsia"/>
          <w:vertAlign w:val="superscript"/>
        </w:rPr>
        <w:fldChar w:fldCharType="separate"/>
      </w:r>
      <w:r w:rsidR="007A4812" w:rsidRPr="007A4812">
        <w:rPr>
          <w:rFonts w:hint="eastAsia"/>
          <w:vertAlign w:val="superscript"/>
        </w:rPr>
        <w:t>[7]</w:t>
      </w:r>
      <w:r w:rsidR="007A4812" w:rsidRPr="007A4812">
        <w:rPr>
          <w:rFonts w:hint="eastAsia"/>
          <w:vertAlign w:val="superscript"/>
        </w:rPr>
        <w:fldChar w:fldCharType="end"/>
      </w:r>
      <w:r>
        <w:t>。与</w:t>
      </w:r>
      <w:r>
        <w:t>Matplotlib</w:t>
      </w:r>
      <w:r>
        <w:t>相比，</w:t>
      </w:r>
      <w:r>
        <w:t>Seaborn</w:t>
      </w:r>
      <w:r>
        <w:t>的核心优势包括：内置了经过精心设计的默认样式和配色方案；原生支持</w:t>
      </w:r>
      <w:r>
        <w:t xml:space="preserve">Pandas </w:t>
      </w:r>
      <w:proofErr w:type="spellStart"/>
      <w:r>
        <w:t>DataFrame</w:t>
      </w:r>
      <w:proofErr w:type="spellEnd"/>
      <w:r>
        <w:t>数据结构；集成了统计功能，能够自动计算并显示置信区间、回归拟合线等统计信息；提供了分组变量（</w:t>
      </w:r>
      <w:r>
        <w:t>hue</w:t>
      </w:r>
      <w:r>
        <w:t>）和分面变量（</w:t>
      </w:r>
      <w:r>
        <w:t>col/row</w:t>
      </w:r>
      <w:r>
        <w:t>）参数，极大简化了多变量对比图表的绘制。</w:t>
      </w:r>
    </w:p>
    <w:p w14:paraId="5A3D7301" w14:textId="77777777" w:rsidR="004B103D" w:rsidRDefault="00000000">
      <w:pPr>
        <w:spacing w:line="360" w:lineRule="auto"/>
        <w:ind w:firstLine="480"/>
      </w:pPr>
      <w:r>
        <w:t>Seaborn</w:t>
      </w:r>
      <w:r>
        <w:t>最适合探索性数据分析（</w:t>
      </w:r>
      <w:r>
        <w:t>EDA</w:t>
      </w:r>
      <w:r>
        <w:t>）阶段的数据分布和关系可视化、统计模型的诊断图表、以及需要快速生成美观图表的数据报告。</w:t>
      </w:r>
    </w:p>
    <w:p w14:paraId="0271DDE9" w14:textId="77777777" w:rsidR="004B103D" w:rsidRDefault="00000000">
      <w:pPr>
        <w:spacing w:before="120" w:after="60"/>
        <w:jc w:val="center"/>
      </w:pPr>
      <w:r>
        <w:rPr>
          <w:noProof/>
        </w:rPr>
        <w:lastRenderedPageBreak/>
        <w:drawing>
          <wp:inline distT="0" distB="0" distL="0" distR="0" wp14:anchorId="68AE6360" wp14:editId="052735F7">
            <wp:extent cx="4762500" cy="32385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238500"/>
                    </a:xfrm>
                    <a:prstGeom prst="rect">
                      <a:avLst/>
                    </a:prstGeom>
                  </pic:spPr>
                </pic:pic>
              </a:graphicData>
            </a:graphic>
          </wp:inline>
        </w:drawing>
      </w:r>
    </w:p>
    <w:p w14:paraId="655AE060" w14:textId="77777777" w:rsidR="004B103D" w:rsidRDefault="00000000">
      <w:pPr>
        <w:spacing w:before="60" w:line="360" w:lineRule="auto"/>
        <w:jc w:val="center"/>
      </w:pPr>
      <w:r>
        <w:rPr>
          <w:sz w:val="21"/>
          <w:szCs w:val="21"/>
        </w:rPr>
        <w:t>图</w:t>
      </w:r>
      <w:r>
        <w:rPr>
          <w:sz w:val="21"/>
          <w:szCs w:val="21"/>
        </w:rPr>
        <w:t>3-2</w:t>
      </w:r>
      <w:r>
        <w:rPr>
          <w:sz w:val="21"/>
          <w:szCs w:val="21"/>
        </w:rPr>
        <w:t xml:space="preserve">　</w:t>
      </w:r>
      <w:r>
        <w:rPr>
          <w:sz w:val="21"/>
          <w:szCs w:val="21"/>
        </w:rPr>
        <w:t>Seaborn</w:t>
      </w:r>
      <w:r>
        <w:rPr>
          <w:sz w:val="21"/>
          <w:szCs w:val="21"/>
        </w:rPr>
        <w:t>统计可视化示例（直方图</w:t>
      </w:r>
      <w:r>
        <w:rPr>
          <w:sz w:val="21"/>
          <w:szCs w:val="21"/>
        </w:rPr>
        <w:t>+KDE</w:t>
      </w:r>
      <w:r>
        <w:rPr>
          <w:sz w:val="21"/>
          <w:szCs w:val="21"/>
        </w:rPr>
        <w:t>、箱线图、小提琴图、回归图、</w:t>
      </w:r>
      <w:r>
        <w:rPr>
          <w:sz w:val="21"/>
          <w:szCs w:val="21"/>
        </w:rPr>
        <w:t>KDE</w:t>
      </w:r>
      <w:r>
        <w:rPr>
          <w:sz w:val="21"/>
          <w:szCs w:val="21"/>
        </w:rPr>
        <w:t>、计数图）</w:t>
      </w:r>
    </w:p>
    <w:p w14:paraId="6A5EAD93" w14:textId="77777777" w:rsidR="004B103D" w:rsidRDefault="004B103D">
      <w:pPr>
        <w:spacing w:line="360" w:lineRule="auto"/>
      </w:pPr>
    </w:p>
    <w:p w14:paraId="4D35C40E" w14:textId="77777777" w:rsidR="004B103D" w:rsidRDefault="00000000">
      <w:pPr>
        <w:pStyle w:val="2"/>
        <w:rPr>
          <w:rFonts w:hint="eastAsia"/>
        </w:rPr>
      </w:pPr>
      <w:bookmarkStart w:id="16" w:name="_Toc233276453"/>
      <w:r>
        <w:t xml:space="preserve">3.3　</w:t>
      </w:r>
      <w:proofErr w:type="spellStart"/>
      <w:r>
        <w:t>Pyecharts</w:t>
      </w:r>
      <w:proofErr w:type="spellEnd"/>
      <w:r>
        <w:t>：交互式Web图表</w:t>
      </w:r>
      <w:bookmarkEnd w:id="16"/>
    </w:p>
    <w:p w14:paraId="22AF3D41" w14:textId="0A6D2AB3" w:rsidR="004B103D" w:rsidRDefault="00000000">
      <w:pPr>
        <w:spacing w:line="360" w:lineRule="auto"/>
        <w:ind w:firstLine="480"/>
      </w:pPr>
      <w:proofErr w:type="spellStart"/>
      <w:r>
        <w:t>Pyecharts</w:t>
      </w:r>
      <w:proofErr w:type="spellEnd"/>
      <w:r>
        <w:t>是百度开源可视化库</w:t>
      </w:r>
      <w:proofErr w:type="spellStart"/>
      <w:r>
        <w:t>ECharts</w:t>
      </w:r>
      <w:proofErr w:type="spellEnd"/>
      <w:r>
        <w:t>的</w:t>
      </w:r>
      <w:r>
        <w:t>Python</w:t>
      </w:r>
      <w:r>
        <w:t>封装。与</w:t>
      </w:r>
      <w:r>
        <w:t>Matplotlib/Seaborn</w:t>
      </w:r>
      <w:r>
        <w:t>生成静态位图不同，</w:t>
      </w:r>
      <w:proofErr w:type="spellStart"/>
      <w:r>
        <w:t>Pyecharts</w:t>
      </w:r>
      <w:proofErr w:type="spellEnd"/>
      <w:r>
        <w:t>生成的图表是以</w:t>
      </w:r>
      <w:proofErr w:type="spellStart"/>
      <w:r>
        <w:t>HTML+JavaScript</w:t>
      </w:r>
      <w:proofErr w:type="spellEnd"/>
      <w:r>
        <w:t>形式呈现的交互式</w:t>
      </w:r>
      <w:r>
        <w:t>Web</w:t>
      </w:r>
      <w:r>
        <w:t>图表，用户在浏览器中可以执行缩放、悬停提示、数据筛选、图例切换等交互操作</w:t>
      </w:r>
      <w:r w:rsidR="00460A9F" w:rsidRPr="00460A9F">
        <w:rPr>
          <w:rFonts w:hint="eastAsia"/>
          <w:vertAlign w:val="superscript"/>
        </w:rPr>
        <w:fldChar w:fldCharType="begin"/>
      </w:r>
      <w:r w:rsidR="00460A9F" w:rsidRPr="00460A9F">
        <w:rPr>
          <w:rFonts w:hint="eastAsia"/>
          <w:vertAlign w:val="superscript"/>
        </w:rPr>
        <w:instrText xml:space="preserve"> </w:instrText>
      </w:r>
      <w:r w:rsidR="00460A9F" w:rsidRPr="00460A9F">
        <w:rPr>
          <w:vertAlign w:val="superscript"/>
        </w:rPr>
        <w:instrText>REF _Ref233277903 \r \h</w:instrText>
      </w:r>
      <w:r w:rsidR="00460A9F" w:rsidRPr="00460A9F">
        <w:rPr>
          <w:rFonts w:hint="eastAsia"/>
          <w:vertAlign w:val="superscript"/>
        </w:rPr>
        <w:instrText xml:space="preserve"> </w:instrText>
      </w:r>
      <w:r w:rsidR="00460A9F">
        <w:rPr>
          <w:rFonts w:hint="eastAsia"/>
          <w:vertAlign w:val="superscript"/>
        </w:rPr>
        <w:instrText xml:space="preserve"> \* MERGEFORMAT </w:instrText>
      </w:r>
      <w:r w:rsidR="00460A9F" w:rsidRPr="00460A9F">
        <w:rPr>
          <w:rFonts w:hint="eastAsia"/>
          <w:vertAlign w:val="superscript"/>
        </w:rPr>
      </w:r>
      <w:r w:rsidR="00460A9F" w:rsidRPr="00460A9F">
        <w:rPr>
          <w:rFonts w:hint="eastAsia"/>
          <w:vertAlign w:val="superscript"/>
        </w:rPr>
        <w:fldChar w:fldCharType="separate"/>
      </w:r>
      <w:r w:rsidR="00460A9F" w:rsidRPr="00460A9F">
        <w:rPr>
          <w:rFonts w:hint="eastAsia"/>
          <w:vertAlign w:val="superscript"/>
        </w:rPr>
        <w:t>[5]</w:t>
      </w:r>
      <w:r w:rsidR="00460A9F" w:rsidRPr="00460A9F">
        <w:rPr>
          <w:rFonts w:hint="eastAsia"/>
          <w:vertAlign w:val="superscript"/>
        </w:rPr>
        <w:fldChar w:fldCharType="end"/>
      </w:r>
      <w:r>
        <w:t>。</w:t>
      </w:r>
      <w:proofErr w:type="spellStart"/>
      <w:r>
        <w:t>Pyecharts</w:t>
      </w:r>
      <w:proofErr w:type="spellEnd"/>
      <w:r>
        <w:t>的核心优势包括：丰富的交互功能；多样化的图表类型，涵盖柱状图、折线图、饼图、地图、仪表盘、漏斗图、关系图、</w:t>
      </w:r>
      <w:r>
        <w:t>K</w:t>
      </w:r>
      <w:r>
        <w:t>线图、词云等</w:t>
      </w:r>
      <w:r>
        <w:t>30</w:t>
      </w:r>
      <w:r>
        <w:t>余种；支持图表组合与布局（</w:t>
      </w:r>
      <w:r>
        <w:t>Grid</w:t>
      </w:r>
      <w:r>
        <w:t>、</w:t>
      </w:r>
      <w:r>
        <w:t>Page</w:t>
      </w:r>
      <w:r>
        <w:t>、</w:t>
      </w:r>
      <w:r>
        <w:t>Tab</w:t>
      </w:r>
      <w:r>
        <w:t>、</w:t>
      </w:r>
      <w:r>
        <w:t>Timeline</w:t>
      </w:r>
      <w:r>
        <w:t>），可以构建复杂的可视化大屏；与</w:t>
      </w:r>
      <w:proofErr w:type="spellStart"/>
      <w:r>
        <w:t>Jupyter</w:t>
      </w:r>
      <w:proofErr w:type="spellEnd"/>
      <w:r>
        <w:t xml:space="preserve"> Notebook</w:t>
      </w:r>
      <w:r>
        <w:t>的深度集成。</w:t>
      </w:r>
    </w:p>
    <w:p w14:paraId="37CDBD3B" w14:textId="77777777" w:rsidR="004B103D" w:rsidRDefault="00000000">
      <w:pPr>
        <w:spacing w:before="120" w:after="60"/>
        <w:jc w:val="center"/>
      </w:pPr>
      <w:r>
        <w:rPr>
          <w:noProof/>
        </w:rPr>
        <w:lastRenderedPageBreak/>
        <w:drawing>
          <wp:inline distT="0" distB="0" distL="0" distR="0" wp14:anchorId="4C4E0146" wp14:editId="6793AB46">
            <wp:extent cx="4572000" cy="29527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952750"/>
                    </a:xfrm>
                    <a:prstGeom prst="rect">
                      <a:avLst/>
                    </a:prstGeom>
                  </pic:spPr>
                </pic:pic>
              </a:graphicData>
            </a:graphic>
          </wp:inline>
        </w:drawing>
      </w:r>
    </w:p>
    <w:p w14:paraId="6AE1595F" w14:textId="77777777" w:rsidR="004B103D" w:rsidRDefault="00000000">
      <w:pPr>
        <w:spacing w:before="60" w:line="360" w:lineRule="auto"/>
        <w:jc w:val="center"/>
      </w:pPr>
      <w:r>
        <w:rPr>
          <w:sz w:val="21"/>
          <w:szCs w:val="21"/>
        </w:rPr>
        <w:t>图</w:t>
      </w:r>
      <w:r>
        <w:rPr>
          <w:sz w:val="21"/>
          <w:szCs w:val="21"/>
        </w:rPr>
        <w:t>3-3</w:t>
      </w:r>
      <w:r>
        <w:rPr>
          <w:sz w:val="21"/>
          <w:szCs w:val="21"/>
        </w:rPr>
        <w:t xml:space="preserve">　</w:t>
      </w:r>
      <w:proofErr w:type="spellStart"/>
      <w:r>
        <w:rPr>
          <w:sz w:val="21"/>
          <w:szCs w:val="21"/>
        </w:rPr>
        <w:t>Pyecharts</w:t>
      </w:r>
      <w:proofErr w:type="spellEnd"/>
      <w:r>
        <w:rPr>
          <w:sz w:val="21"/>
          <w:szCs w:val="21"/>
        </w:rPr>
        <w:t>风格交互式柱形图示例</w:t>
      </w:r>
    </w:p>
    <w:p w14:paraId="622E82A7" w14:textId="77777777" w:rsidR="004B103D" w:rsidRDefault="004B103D">
      <w:pPr>
        <w:spacing w:line="360" w:lineRule="auto"/>
      </w:pPr>
    </w:p>
    <w:p w14:paraId="2D57254C" w14:textId="77777777" w:rsidR="004B103D" w:rsidRDefault="00000000">
      <w:pPr>
        <w:pStyle w:val="2"/>
        <w:rPr>
          <w:rFonts w:hint="eastAsia"/>
        </w:rPr>
      </w:pPr>
      <w:bookmarkStart w:id="17" w:name="_Toc233276454"/>
      <w:r>
        <w:t>3.4　三大库综合对比</w:t>
      </w:r>
      <w:bookmarkEnd w:id="17"/>
    </w:p>
    <w:p w14:paraId="033EAC48" w14:textId="77777777" w:rsidR="004B103D" w:rsidRDefault="00000000">
      <w:pPr>
        <w:spacing w:line="360" w:lineRule="auto"/>
        <w:ind w:firstLine="480"/>
      </w:pPr>
      <w:r>
        <w:t>基于功能定位、图表类型、交互能力和编码效率四个维度的系统对比，本文总结出以下选型结论：</w:t>
      </w:r>
      <w:r>
        <w:t>Matplotlib</w:t>
      </w:r>
      <w:r>
        <w:t>以无与伦比的灵活性和控制力见长，适合出版级专业图表的精细定制；</w:t>
      </w:r>
      <w:r>
        <w:t>Seaborn</w:t>
      </w:r>
      <w:r>
        <w:t>以简洁的</w:t>
      </w:r>
      <w:r>
        <w:t>API</w:t>
      </w:r>
      <w:r>
        <w:t>和精美的默认样式取胜，是统计可视化和</w:t>
      </w:r>
      <w:r>
        <w:t>EDA</w:t>
      </w:r>
      <w:r>
        <w:t>阶段的高效工具；</w:t>
      </w:r>
      <w:proofErr w:type="spellStart"/>
      <w:r>
        <w:t>Pyecharts</w:t>
      </w:r>
      <w:proofErr w:type="spellEnd"/>
      <w:r>
        <w:t>以丰富的交互性和多样的图表类型突围，在</w:t>
      </w:r>
      <w:r>
        <w:t>Web</w:t>
      </w:r>
      <w:r>
        <w:t>仪表板和数据产品中独树一帜。</w:t>
      </w:r>
    </w:p>
    <w:p w14:paraId="1663E734" w14:textId="77777777" w:rsidR="004B103D" w:rsidRDefault="00000000">
      <w:pPr>
        <w:pStyle w:val="2"/>
        <w:rPr>
          <w:rFonts w:hint="eastAsia"/>
        </w:rPr>
      </w:pPr>
      <w:bookmarkStart w:id="18" w:name="_Toc233276455"/>
      <w:r>
        <w:t>3.5　选型决策框架</w:t>
      </w:r>
      <w:bookmarkEnd w:id="18"/>
    </w:p>
    <w:p w14:paraId="11A96D58" w14:textId="77777777" w:rsidR="004B103D" w:rsidRDefault="00000000">
      <w:pPr>
        <w:spacing w:line="360" w:lineRule="auto"/>
        <w:ind w:firstLine="480"/>
      </w:pPr>
      <w:r>
        <w:t>基于上述对比分析，本文提出以下三步选型决策框架：首先判断是否需要交互功能（如悬停提示、区域缩放），若是则选择</w:t>
      </w:r>
      <w:proofErr w:type="spellStart"/>
      <w:r>
        <w:t>Pyecharts</w:t>
      </w:r>
      <w:proofErr w:type="spellEnd"/>
      <w:r>
        <w:t>；其次判断是否为统计相关图表（需自动计算置信区间、回归线等），若是则选择</w:t>
      </w:r>
      <w:r>
        <w:t>Seaborn</w:t>
      </w:r>
      <w:r>
        <w:t>；最后判断是否需要高度自定义（</w:t>
      </w:r>
      <w:proofErr w:type="gramStart"/>
      <w:r>
        <w:t>如修改</w:t>
      </w:r>
      <w:proofErr w:type="gramEnd"/>
      <w:r>
        <w:t>每个刻度标签样式、添加复杂注释），若是则选择</w:t>
      </w:r>
      <w:r>
        <w:t>Matplotlib</w:t>
      </w:r>
      <w:r>
        <w:t>，否则</w:t>
      </w:r>
      <w:r>
        <w:t>Seaborn</w:t>
      </w:r>
      <w:r>
        <w:t>的默认样式即可满足需求。图</w:t>
      </w:r>
      <w:r>
        <w:t>3-4</w:t>
      </w:r>
      <w:r>
        <w:t>以流程图形式展示了这一决策过程。</w:t>
      </w:r>
    </w:p>
    <w:p w14:paraId="2BD47CF8" w14:textId="77777777" w:rsidR="004B103D" w:rsidRDefault="00000000">
      <w:pPr>
        <w:spacing w:before="120" w:after="60"/>
        <w:jc w:val="center"/>
      </w:pPr>
      <w:r>
        <w:rPr>
          <w:noProof/>
        </w:rPr>
        <w:lastRenderedPageBreak/>
        <w:drawing>
          <wp:inline distT="0" distB="0" distL="0" distR="0" wp14:anchorId="271E9C42" wp14:editId="5C5D652B">
            <wp:extent cx="4762500" cy="30480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048000"/>
                    </a:xfrm>
                    <a:prstGeom prst="rect">
                      <a:avLst/>
                    </a:prstGeom>
                  </pic:spPr>
                </pic:pic>
              </a:graphicData>
            </a:graphic>
          </wp:inline>
        </w:drawing>
      </w:r>
    </w:p>
    <w:p w14:paraId="11CB122F" w14:textId="77777777" w:rsidR="004B103D" w:rsidRDefault="00000000">
      <w:pPr>
        <w:spacing w:before="60" w:line="360" w:lineRule="auto"/>
        <w:jc w:val="center"/>
      </w:pPr>
      <w:r>
        <w:rPr>
          <w:sz w:val="21"/>
          <w:szCs w:val="21"/>
        </w:rPr>
        <w:t>图</w:t>
      </w:r>
      <w:r>
        <w:rPr>
          <w:sz w:val="21"/>
          <w:szCs w:val="21"/>
        </w:rPr>
        <w:t>3-4</w:t>
      </w:r>
      <w:r>
        <w:rPr>
          <w:sz w:val="21"/>
          <w:szCs w:val="21"/>
        </w:rPr>
        <w:t xml:space="preserve">　</w:t>
      </w:r>
      <w:r>
        <w:rPr>
          <w:sz w:val="21"/>
          <w:szCs w:val="21"/>
        </w:rPr>
        <w:t>Python</w:t>
      </w:r>
      <w:r>
        <w:rPr>
          <w:sz w:val="21"/>
          <w:szCs w:val="21"/>
        </w:rPr>
        <w:t>可视化库选型决策流程图</w:t>
      </w:r>
    </w:p>
    <w:p w14:paraId="3685519E" w14:textId="77777777" w:rsidR="004B103D" w:rsidRDefault="004B103D">
      <w:pPr>
        <w:spacing w:line="360" w:lineRule="auto"/>
      </w:pPr>
    </w:p>
    <w:p w14:paraId="3398EB3F" w14:textId="77777777" w:rsidR="004B103D" w:rsidRDefault="00000000">
      <w:pPr>
        <w:pStyle w:val="1"/>
        <w:rPr>
          <w:rFonts w:hint="eastAsia"/>
        </w:rPr>
      </w:pPr>
      <w:bookmarkStart w:id="19" w:name="_Toc233276456"/>
      <w:r>
        <w:t>4　图表选择策略与指南</w:t>
      </w:r>
      <w:bookmarkEnd w:id="19"/>
    </w:p>
    <w:p w14:paraId="0C85A95B" w14:textId="77777777" w:rsidR="004B103D" w:rsidRDefault="00000000">
      <w:pPr>
        <w:pStyle w:val="2"/>
        <w:rPr>
          <w:rFonts w:hint="eastAsia"/>
        </w:rPr>
      </w:pPr>
      <w:bookmarkStart w:id="20" w:name="_Toc233276457"/>
      <w:r>
        <w:t>4.1　基于数据类型的图表选择</w:t>
      </w:r>
      <w:bookmarkEnd w:id="20"/>
    </w:p>
    <w:p w14:paraId="7EBEB6E3" w14:textId="77777777" w:rsidR="004B103D" w:rsidRDefault="00000000">
      <w:pPr>
        <w:pStyle w:val="3"/>
        <w:rPr>
          <w:rFonts w:hint="eastAsia"/>
        </w:rPr>
      </w:pPr>
      <w:bookmarkStart w:id="21" w:name="_Toc233276458"/>
      <w:r>
        <w:t>4.1.1　单变量连续数据</w:t>
      </w:r>
      <w:bookmarkEnd w:id="21"/>
    </w:p>
    <w:p w14:paraId="757B1075" w14:textId="77777777" w:rsidR="004B103D" w:rsidRDefault="00000000">
      <w:pPr>
        <w:spacing w:line="360" w:lineRule="auto"/>
        <w:ind w:firstLine="480"/>
      </w:pPr>
      <w:r>
        <w:t>对于单一连续变量的分布展示，推荐使用直方图（</w:t>
      </w:r>
      <w:r>
        <w:t>histogram</w:t>
      </w:r>
      <w:r>
        <w:t>）、核密度估计曲线（</w:t>
      </w:r>
      <w:r>
        <w:t>KDE plot</w:t>
      </w:r>
      <w:r>
        <w:t>）或箱线图（</w:t>
      </w:r>
      <w:r>
        <w:t>box plot</w:t>
      </w:r>
      <w:r>
        <w:t>）。直方图通过分箱展示数据在各区间内的频数分布，适合初步了解数据的集中趋势和离散程度；核密度估计曲线提供平滑的概率密度近似；箱线图通过中位数、四分位数和异常值（</w:t>
      </w:r>
      <w:r>
        <w:t>IQR×1.5</w:t>
      </w:r>
      <w:r>
        <w:t>）提供了数据分布的稳健概括。在实际应用中，通常建议将直方图与</w:t>
      </w:r>
      <w:r>
        <w:t>KDE</w:t>
      </w:r>
      <w:r>
        <w:t>曲线叠加使用，以兼顾直观性和平滑性。</w:t>
      </w:r>
    </w:p>
    <w:p w14:paraId="0D334B39" w14:textId="77777777" w:rsidR="004B103D" w:rsidRDefault="00000000">
      <w:pPr>
        <w:pStyle w:val="3"/>
        <w:rPr>
          <w:rFonts w:hint="eastAsia"/>
        </w:rPr>
      </w:pPr>
      <w:bookmarkStart w:id="22" w:name="_Toc233276459"/>
      <w:r>
        <w:t>4.1.2　单变量分类数据</w:t>
      </w:r>
      <w:bookmarkEnd w:id="22"/>
    </w:p>
    <w:p w14:paraId="03D980C9" w14:textId="0402A5A5" w:rsidR="004B103D" w:rsidRDefault="00000000">
      <w:pPr>
        <w:spacing w:line="360" w:lineRule="auto"/>
        <w:ind w:firstLine="480"/>
      </w:pPr>
      <w:r>
        <w:t>对于类别频数的展示，柱形图（</w:t>
      </w:r>
      <w:r>
        <w:t>bar chart</w:t>
      </w:r>
      <w:r>
        <w:t>）是</w:t>
      </w:r>
      <w:proofErr w:type="gramStart"/>
      <w:r>
        <w:t>最</w:t>
      </w:r>
      <w:proofErr w:type="gramEnd"/>
      <w:r>
        <w:t>经典的选择。当类别数超过</w:t>
      </w:r>
      <w:r>
        <w:t>10</w:t>
      </w:r>
      <w:r>
        <w:t>个时，建议使用水平条形图（</w:t>
      </w:r>
      <w:r>
        <w:t>horizontal bar chart</w:t>
      </w:r>
      <w:r>
        <w:t>），使类别标签有足够空间横向展开。饼图（</w:t>
      </w:r>
      <w:r>
        <w:t>pie chart</w:t>
      </w:r>
      <w:r>
        <w:t>）虽然常用，但仅适合展示不超过</w:t>
      </w:r>
      <w:r>
        <w:t>5</w:t>
      </w:r>
      <w:r>
        <w:t>个类别的占比关系，且不宜用于精确比较</w:t>
      </w:r>
      <w:r>
        <w:t>——</w:t>
      </w:r>
      <w:r>
        <w:t>研究表明人眼对角度差异的感知精度远低于对长度差异的感知</w:t>
      </w:r>
      <w:r w:rsidR="007A4812" w:rsidRPr="007A4812">
        <w:rPr>
          <w:rFonts w:hint="eastAsia"/>
          <w:vertAlign w:val="superscript"/>
        </w:rPr>
        <w:fldChar w:fldCharType="begin"/>
      </w:r>
      <w:r w:rsidR="007A4812" w:rsidRPr="007A4812">
        <w:rPr>
          <w:rFonts w:hint="eastAsia"/>
          <w:vertAlign w:val="superscript"/>
        </w:rPr>
        <w:instrText xml:space="preserve"> </w:instrText>
      </w:r>
      <w:r w:rsidR="007A4812" w:rsidRPr="007A4812">
        <w:rPr>
          <w:vertAlign w:val="superscript"/>
        </w:rPr>
        <w:instrText>REF _Ref233277980 \r \h</w:instrText>
      </w:r>
      <w:r w:rsidR="007A4812" w:rsidRPr="007A4812">
        <w:rPr>
          <w:rFonts w:hint="eastAsia"/>
          <w:vertAlign w:val="superscript"/>
        </w:rPr>
        <w:instrText xml:space="preserve"> </w:instrText>
      </w:r>
      <w:r w:rsidR="007A4812">
        <w:rPr>
          <w:rFonts w:hint="eastAsia"/>
          <w:vertAlign w:val="superscript"/>
        </w:rPr>
        <w:instrText xml:space="preserve"> \* MERGEFORMAT </w:instrText>
      </w:r>
      <w:r w:rsidR="007A4812" w:rsidRPr="007A4812">
        <w:rPr>
          <w:rFonts w:hint="eastAsia"/>
          <w:vertAlign w:val="superscript"/>
        </w:rPr>
      </w:r>
      <w:r w:rsidR="007A4812" w:rsidRPr="007A4812">
        <w:rPr>
          <w:rFonts w:hint="eastAsia"/>
          <w:vertAlign w:val="superscript"/>
        </w:rPr>
        <w:fldChar w:fldCharType="separate"/>
      </w:r>
      <w:r w:rsidR="007A4812" w:rsidRPr="007A4812">
        <w:rPr>
          <w:rFonts w:hint="eastAsia"/>
          <w:vertAlign w:val="superscript"/>
        </w:rPr>
        <w:t>[10]</w:t>
      </w:r>
      <w:r w:rsidR="007A4812" w:rsidRPr="007A4812">
        <w:rPr>
          <w:rFonts w:hint="eastAsia"/>
          <w:vertAlign w:val="superscript"/>
        </w:rPr>
        <w:fldChar w:fldCharType="end"/>
      </w:r>
      <w:r>
        <w:t>。</w:t>
      </w:r>
    </w:p>
    <w:p w14:paraId="4A2E3F8A" w14:textId="77777777" w:rsidR="004B103D" w:rsidRDefault="00000000">
      <w:pPr>
        <w:pStyle w:val="3"/>
        <w:rPr>
          <w:rFonts w:hint="eastAsia"/>
        </w:rPr>
      </w:pPr>
      <w:bookmarkStart w:id="23" w:name="_Toc233276460"/>
      <w:r>
        <w:t>4.1.3　双变量关系数据</w:t>
      </w:r>
      <w:bookmarkEnd w:id="23"/>
    </w:p>
    <w:p w14:paraId="6B486487" w14:textId="77777777" w:rsidR="004B103D" w:rsidRDefault="00000000">
      <w:pPr>
        <w:spacing w:line="360" w:lineRule="auto"/>
        <w:ind w:firstLine="480"/>
      </w:pPr>
      <w:r>
        <w:t>散点图（</w:t>
      </w:r>
      <w:r>
        <w:t>scatter plot</w:t>
      </w:r>
      <w:r>
        <w:t>）是展示两个连续变量关系的最直接有效的选择。当数</w:t>
      </w:r>
      <w:r>
        <w:lastRenderedPageBreak/>
        <w:t>据点数量极大导致过度绘制（</w:t>
      </w:r>
      <w:r>
        <w:t>overplotting</w:t>
      </w:r>
      <w:r>
        <w:t>）时，可采用透明度（</w:t>
      </w:r>
      <w:r>
        <w:t>alpha</w:t>
      </w:r>
      <w:r>
        <w:t>）、</w:t>
      </w:r>
      <w:r>
        <w:t>2D</w:t>
      </w:r>
      <w:r>
        <w:t>核密度估计、或六边形分箱图（</w:t>
      </w:r>
      <w:proofErr w:type="spellStart"/>
      <w:r>
        <w:t>hexbin</w:t>
      </w:r>
      <w:proofErr w:type="spellEnd"/>
      <w:r>
        <w:t xml:space="preserve"> plot</w:t>
      </w:r>
      <w:r>
        <w:t>）等替代方案。若需同时展示拟合趋势，可在散点图上叠加回归线（</w:t>
      </w:r>
      <w:proofErr w:type="spellStart"/>
      <w:r>
        <w:t>regplot</w:t>
      </w:r>
      <w:proofErr w:type="spellEnd"/>
      <w:r>
        <w:t>），</w:t>
      </w:r>
      <w:r>
        <w:t>Seaborn</w:t>
      </w:r>
      <w:r>
        <w:t>的</w:t>
      </w:r>
      <w:proofErr w:type="spellStart"/>
      <w:r>
        <w:t>regplot</w:t>
      </w:r>
      <w:proofErr w:type="spellEnd"/>
      <w:r>
        <w:t>()</w:t>
      </w:r>
      <w:r>
        <w:t>和</w:t>
      </w:r>
      <w:proofErr w:type="spellStart"/>
      <w:r>
        <w:t>lmplot</w:t>
      </w:r>
      <w:proofErr w:type="spellEnd"/>
      <w:r>
        <w:t>()</w:t>
      </w:r>
      <w:r>
        <w:t>函数提供了便捷的实现。</w:t>
      </w:r>
    </w:p>
    <w:p w14:paraId="53456F40" w14:textId="77777777" w:rsidR="004B103D" w:rsidRDefault="00000000">
      <w:pPr>
        <w:pStyle w:val="3"/>
        <w:rPr>
          <w:rFonts w:hint="eastAsia"/>
        </w:rPr>
      </w:pPr>
      <w:bookmarkStart w:id="24" w:name="_Toc233276461"/>
      <w:r>
        <w:t>4.1.4　多变量数据</w:t>
      </w:r>
      <w:bookmarkEnd w:id="24"/>
    </w:p>
    <w:p w14:paraId="29C9CCC8" w14:textId="77777777" w:rsidR="004B103D" w:rsidRDefault="00000000">
      <w:pPr>
        <w:spacing w:line="360" w:lineRule="auto"/>
        <w:ind w:firstLine="480"/>
      </w:pPr>
      <w:r>
        <w:t>对于含三个或更多变量的数据集，常用策略包括：使用颜色（</w:t>
      </w:r>
      <w:r>
        <w:t>hue</w:t>
      </w:r>
      <w:r>
        <w:t>）、大小（</w:t>
      </w:r>
      <w:r>
        <w:t>size</w:t>
      </w:r>
      <w:r>
        <w:t>）或形状（</w:t>
      </w:r>
      <w:r>
        <w:t>marker</w:t>
      </w:r>
      <w:r>
        <w:t>）在二维图表中编码第三、第四个变量；使用分面（</w:t>
      </w:r>
      <w:r>
        <w:t>facet</w:t>
      </w:r>
      <w:r>
        <w:t>）技术将数据按某个分类变量切分为多个子图；使用散点图矩阵（</w:t>
      </w:r>
      <w:proofErr w:type="spellStart"/>
      <w:r>
        <w:t>pairplot</w:t>
      </w:r>
      <w:proofErr w:type="spellEnd"/>
      <w:r>
        <w:t>）展示所有变量对之间的关系；使用平行坐标图或雷达图展示多维特征。</w:t>
      </w:r>
    </w:p>
    <w:p w14:paraId="3DC1E907" w14:textId="77777777" w:rsidR="004B103D" w:rsidRDefault="00000000">
      <w:pPr>
        <w:pStyle w:val="2"/>
        <w:rPr>
          <w:rFonts w:hint="eastAsia"/>
        </w:rPr>
      </w:pPr>
      <w:bookmarkStart w:id="25" w:name="_Toc233276462"/>
      <w:r>
        <w:t>4.2　基于分析目标的图表选择</w:t>
      </w:r>
      <w:bookmarkEnd w:id="25"/>
    </w:p>
    <w:p w14:paraId="53157940" w14:textId="77777777" w:rsidR="004B103D" w:rsidRDefault="00000000">
      <w:pPr>
        <w:spacing w:line="360" w:lineRule="auto"/>
        <w:ind w:firstLine="480"/>
      </w:pPr>
      <w:r>
        <w:t>不同的分析目标对应不同的最佳图表类型。比较数值大小时，柱形图（</w:t>
      </w:r>
      <w:r>
        <w:t>Bar Chart</w:t>
      </w:r>
      <w:r>
        <w:t>）是首选，点图（</w:t>
      </w:r>
      <w:r>
        <w:t>Dot Plot</w:t>
      </w:r>
      <w:r>
        <w:t>）是备选，推荐使用</w:t>
      </w:r>
      <w:r>
        <w:t>Seaborn</w:t>
      </w:r>
      <w:r>
        <w:t>或</w:t>
      </w:r>
      <w:r>
        <w:t>Matplotlib</w:t>
      </w:r>
      <w:r>
        <w:t>。展示变化趋势时，折线图（</w:t>
      </w:r>
      <w:r>
        <w:t>Line Chart</w:t>
      </w:r>
      <w:r>
        <w:t>）是最佳选择。</w:t>
      </w:r>
      <w:proofErr w:type="gramStart"/>
      <w:r>
        <w:t>展示占比构成</w:t>
      </w:r>
      <w:proofErr w:type="gramEnd"/>
      <w:r>
        <w:t>时，堆叠柱形图优于饼图（类别较多时）。展示数据分布时，箱线图配合小提琴图可提供最丰富的信息，推荐使用</w:t>
      </w:r>
      <w:r>
        <w:t>Seaborn</w:t>
      </w:r>
      <w:r>
        <w:t>。展示变量关系时，散点图加回归线是</w:t>
      </w:r>
      <w:proofErr w:type="gramStart"/>
      <w:r>
        <w:t>最</w:t>
      </w:r>
      <w:proofErr w:type="gramEnd"/>
      <w:r>
        <w:t>经典的选择。地理空间分布和层级流程关系则推荐使用</w:t>
      </w:r>
      <w:proofErr w:type="spellStart"/>
      <w:r>
        <w:t>Pyecharts</w:t>
      </w:r>
      <w:proofErr w:type="spellEnd"/>
      <w:r>
        <w:t>，因其内置了地图和漏斗图等专业图表类型。</w:t>
      </w:r>
    </w:p>
    <w:p w14:paraId="79D95F91" w14:textId="77777777" w:rsidR="004B103D" w:rsidRDefault="00000000">
      <w:pPr>
        <w:pStyle w:val="2"/>
        <w:rPr>
          <w:rFonts w:hint="eastAsia"/>
        </w:rPr>
      </w:pPr>
      <w:bookmarkStart w:id="26" w:name="_Toc233276463"/>
      <w:r>
        <w:t>4.3　颜色选择策略</w:t>
      </w:r>
      <w:bookmarkEnd w:id="26"/>
    </w:p>
    <w:p w14:paraId="23343D48" w14:textId="4157087B" w:rsidR="004B103D" w:rsidRDefault="00000000">
      <w:pPr>
        <w:spacing w:line="360" w:lineRule="auto"/>
        <w:ind w:firstLine="480"/>
      </w:pPr>
      <w:r>
        <w:t>颜色是数据可视化中最强大也最容易被误用的视觉编码通道。合理的颜色选择应遵循以下原则：一是色觉障碍友好性（</w:t>
      </w:r>
      <w:r>
        <w:t>Colorblind-Friendly</w:t>
      </w:r>
      <w:r>
        <w:t>），约</w:t>
      </w:r>
      <w:r>
        <w:t>8%</w:t>
      </w:r>
      <w:r>
        <w:t>的男性和</w:t>
      </w:r>
      <w:r>
        <w:t>0.5%</w:t>
      </w:r>
      <w:r>
        <w:t>的女性存在某种形式的色觉障碍，应避免使用红</w:t>
      </w:r>
      <w:r>
        <w:t>-</w:t>
      </w:r>
      <w:r>
        <w:t>绿组合来表示对比信息，转而使用蓝</w:t>
      </w:r>
      <w:r>
        <w:t>-</w:t>
      </w:r>
      <w:r>
        <w:t>橙配色方案</w:t>
      </w:r>
      <w:r w:rsidR="007A4812" w:rsidRPr="007A4812">
        <w:rPr>
          <w:rFonts w:hint="eastAsia"/>
          <w:vertAlign w:val="superscript"/>
        </w:rPr>
        <w:fldChar w:fldCharType="begin"/>
      </w:r>
      <w:r w:rsidR="007A4812" w:rsidRPr="007A4812">
        <w:rPr>
          <w:rFonts w:hint="eastAsia"/>
          <w:vertAlign w:val="superscript"/>
        </w:rPr>
        <w:instrText xml:space="preserve"> </w:instrText>
      </w:r>
      <w:r w:rsidR="007A4812" w:rsidRPr="007A4812">
        <w:rPr>
          <w:vertAlign w:val="superscript"/>
        </w:rPr>
        <w:instrText>REF _Ref233277958 \r \h</w:instrText>
      </w:r>
      <w:r w:rsidR="007A4812" w:rsidRPr="007A4812">
        <w:rPr>
          <w:rFonts w:hint="eastAsia"/>
          <w:vertAlign w:val="superscript"/>
        </w:rPr>
        <w:instrText xml:space="preserve"> </w:instrText>
      </w:r>
      <w:r w:rsidR="007A4812">
        <w:rPr>
          <w:rFonts w:hint="eastAsia"/>
          <w:vertAlign w:val="superscript"/>
        </w:rPr>
        <w:instrText xml:space="preserve"> \* MERGEFORMAT </w:instrText>
      </w:r>
      <w:r w:rsidR="007A4812" w:rsidRPr="007A4812">
        <w:rPr>
          <w:rFonts w:hint="eastAsia"/>
          <w:vertAlign w:val="superscript"/>
        </w:rPr>
      </w:r>
      <w:r w:rsidR="007A4812" w:rsidRPr="007A4812">
        <w:rPr>
          <w:rFonts w:hint="eastAsia"/>
          <w:vertAlign w:val="superscript"/>
        </w:rPr>
        <w:fldChar w:fldCharType="separate"/>
      </w:r>
      <w:r w:rsidR="007A4812" w:rsidRPr="007A4812">
        <w:rPr>
          <w:rFonts w:hint="eastAsia"/>
          <w:vertAlign w:val="superscript"/>
        </w:rPr>
        <w:t>[9]</w:t>
      </w:r>
      <w:r w:rsidR="007A4812" w:rsidRPr="007A4812">
        <w:rPr>
          <w:rFonts w:hint="eastAsia"/>
          <w:vertAlign w:val="superscript"/>
        </w:rPr>
        <w:fldChar w:fldCharType="end"/>
      </w:r>
      <w:r>
        <w:t>；二是序列性（</w:t>
      </w:r>
      <w:r>
        <w:t>Sequential</w:t>
      </w:r>
      <w:r>
        <w:t>）与发散性（</w:t>
      </w:r>
      <w:r>
        <w:t>Diverging</w:t>
      </w:r>
      <w:r>
        <w:t>）的区分</w:t>
      </w:r>
      <w:r>
        <w:t>——</w:t>
      </w:r>
      <w:r>
        <w:t>对于有序数据使用单色渐变，对于以某个中心值为基准的双向偏离数据使用双色发散配色；三是文化语境</w:t>
      </w:r>
      <w:proofErr w:type="gramStart"/>
      <w:r>
        <w:t>考量</w:t>
      </w:r>
      <w:proofErr w:type="gramEnd"/>
      <w:r>
        <w:t>——</w:t>
      </w:r>
      <w:r>
        <w:t>在商业环境中，红色通常表示</w:t>
      </w:r>
      <w:r>
        <w:t>"</w:t>
      </w:r>
      <w:r>
        <w:t>亏损</w:t>
      </w:r>
      <w:r>
        <w:t>"</w:t>
      </w:r>
      <w:r>
        <w:t>或</w:t>
      </w:r>
      <w:r>
        <w:t>"</w:t>
      </w:r>
      <w:r>
        <w:t>警告</w:t>
      </w:r>
      <w:r>
        <w:t>"</w:t>
      </w:r>
      <w:r>
        <w:t>，绿色表示</w:t>
      </w:r>
      <w:r>
        <w:t>"</w:t>
      </w:r>
      <w:r>
        <w:t>盈利</w:t>
      </w:r>
      <w:r>
        <w:t>"</w:t>
      </w:r>
      <w:r>
        <w:t>或</w:t>
      </w:r>
      <w:r>
        <w:t>"</w:t>
      </w:r>
      <w:r>
        <w:t>正常</w:t>
      </w:r>
      <w:r>
        <w:t>"</w:t>
      </w:r>
      <w:r>
        <w:t>。</w:t>
      </w:r>
    </w:p>
    <w:p w14:paraId="08514199" w14:textId="77777777" w:rsidR="009A651E" w:rsidRDefault="009A651E" w:rsidP="009A651E">
      <w:pPr>
        <w:spacing w:line="360" w:lineRule="auto"/>
      </w:pPr>
    </w:p>
    <w:p w14:paraId="261FB386" w14:textId="77777777" w:rsidR="004B103D" w:rsidRDefault="00000000">
      <w:pPr>
        <w:pStyle w:val="1"/>
        <w:rPr>
          <w:rFonts w:hint="eastAsia"/>
        </w:rPr>
      </w:pPr>
      <w:bookmarkStart w:id="27" w:name="_Toc233276464"/>
      <w:r>
        <w:t>5　综合案例实践</w:t>
      </w:r>
      <w:bookmarkEnd w:id="27"/>
    </w:p>
    <w:p w14:paraId="2936D048" w14:textId="77777777" w:rsidR="004B103D" w:rsidRDefault="00000000">
      <w:pPr>
        <w:spacing w:line="360" w:lineRule="auto"/>
        <w:ind w:firstLine="480"/>
      </w:pPr>
      <w:r>
        <w:t>本章以两个真实数据集为载体，综合运用</w:t>
      </w:r>
      <w:r>
        <w:t>Matplotlib</w:t>
      </w:r>
      <w:r>
        <w:t>、</w:t>
      </w:r>
      <w:r>
        <w:t>Seaborn</w:t>
      </w:r>
      <w:r>
        <w:t>和</w:t>
      </w:r>
      <w:proofErr w:type="spellStart"/>
      <w:r>
        <w:t>Pyecharts</w:t>
      </w:r>
      <w:proofErr w:type="spellEnd"/>
      <w:r>
        <w:t>三大库，实践前述设计原则与图表选择策略。所有原始代码存放于课程</w:t>
      </w:r>
      <w:r>
        <w:lastRenderedPageBreak/>
        <w:t>Notebook</w:t>
      </w:r>
      <w:r>
        <w:t>文件中，本节重点分析可视化结果和设计</w:t>
      </w:r>
      <w:proofErr w:type="gramStart"/>
      <w:r>
        <w:t>考量</w:t>
      </w:r>
      <w:proofErr w:type="gramEnd"/>
      <w:r>
        <w:t>。</w:t>
      </w:r>
    </w:p>
    <w:p w14:paraId="36E12144" w14:textId="77777777" w:rsidR="004B103D" w:rsidRDefault="00000000">
      <w:pPr>
        <w:pStyle w:val="2"/>
        <w:rPr>
          <w:rFonts w:hint="eastAsia"/>
        </w:rPr>
      </w:pPr>
      <w:bookmarkStart w:id="28" w:name="_Toc233276465"/>
      <w:r>
        <w:t>5.1　案例</w:t>
      </w:r>
      <w:proofErr w:type="gramStart"/>
      <w:r>
        <w:t>一</w:t>
      </w:r>
      <w:proofErr w:type="gramEnd"/>
      <w:r>
        <w:t>：</w:t>
      </w:r>
      <w:proofErr w:type="gramStart"/>
      <w:r>
        <w:t>星巴克全球门店数据</w:t>
      </w:r>
      <w:proofErr w:type="gramEnd"/>
      <w:r>
        <w:t>可视化</w:t>
      </w:r>
      <w:bookmarkEnd w:id="28"/>
    </w:p>
    <w:p w14:paraId="75C5EFA3" w14:textId="77777777" w:rsidR="004B103D" w:rsidRDefault="00000000">
      <w:pPr>
        <w:pStyle w:val="3"/>
        <w:rPr>
          <w:rFonts w:hint="eastAsia"/>
        </w:rPr>
      </w:pPr>
      <w:bookmarkStart w:id="29" w:name="_Toc233276466"/>
      <w:r>
        <w:t>5.1.1　数据概况</w:t>
      </w:r>
      <w:bookmarkEnd w:id="29"/>
    </w:p>
    <w:p w14:paraId="45873A6C" w14:textId="77777777" w:rsidR="004B103D" w:rsidRDefault="00000000">
      <w:pPr>
        <w:spacing w:line="360" w:lineRule="auto"/>
        <w:ind w:firstLine="480"/>
      </w:pPr>
      <w:r>
        <w:t>本案例使用</w:t>
      </w:r>
      <w:proofErr w:type="gramStart"/>
      <w:r>
        <w:t>星巴克全球门店数据</w:t>
      </w:r>
      <w:proofErr w:type="gramEnd"/>
      <w:r>
        <w:t>集（</w:t>
      </w:r>
      <w:r>
        <w:t>starbucks.csv</w:t>
      </w:r>
      <w:r>
        <w:t>），包含</w:t>
      </w:r>
      <w:r>
        <w:t>25,600</w:t>
      </w:r>
      <w:r>
        <w:t>条门店记录，涵盖</w:t>
      </w:r>
      <w:r>
        <w:t>13</w:t>
      </w:r>
      <w:r>
        <w:t>个字段：品牌（</w:t>
      </w:r>
      <w:r>
        <w:t>Brand</w:t>
      </w:r>
      <w:r>
        <w:t>）、门店编号（</w:t>
      </w:r>
      <w:r>
        <w:t>Store Number</w:t>
      </w:r>
      <w:r>
        <w:t>）、门店名称（</w:t>
      </w:r>
      <w:r>
        <w:t>Store Name</w:t>
      </w:r>
      <w:r>
        <w:t>）、经营方式（</w:t>
      </w:r>
      <w:r>
        <w:t>Ownership Type</w:t>
      </w:r>
      <w:r>
        <w:t>）、街道地址（</w:t>
      </w:r>
      <w:r>
        <w:t>Street Address</w:t>
      </w:r>
      <w:r>
        <w:t>）、所在城市（</w:t>
      </w:r>
      <w:r>
        <w:t>City</w:t>
      </w:r>
      <w:r>
        <w:t>）、州</w:t>
      </w:r>
      <w:r>
        <w:t>/</w:t>
      </w:r>
      <w:r>
        <w:t>省（</w:t>
      </w:r>
      <w:r>
        <w:t>State/Province</w:t>
      </w:r>
      <w:r>
        <w:t>）、国家（</w:t>
      </w:r>
      <w:r>
        <w:t>Country</w:t>
      </w:r>
      <w:r>
        <w:t>）、邮政编码（</w:t>
      </w:r>
      <w:r>
        <w:t>Postcode</w:t>
      </w:r>
      <w:r>
        <w:t>）、电话号码（</w:t>
      </w:r>
      <w:r>
        <w:t>Phone Number</w:t>
      </w:r>
      <w:r>
        <w:t>）、时区（</w:t>
      </w:r>
      <w:proofErr w:type="spellStart"/>
      <w:r>
        <w:t>Timezone</w:t>
      </w:r>
      <w:proofErr w:type="spellEnd"/>
      <w:r>
        <w:t>）、经度（</w:t>
      </w:r>
      <w:r>
        <w:t>Longitude</w:t>
      </w:r>
      <w:r>
        <w:t>）、纬度（</w:t>
      </w:r>
      <w:r>
        <w:t>Latitude</w:t>
      </w:r>
      <w:r>
        <w:t>）。数据来源于课程文件中的</w:t>
      </w:r>
      <w:r>
        <w:t>starbucks.csv</w:t>
      </w:r>
      <w:r>
        <w:t>，分析代码见星巴克门店数据分析</w:t>
      </w:r>
      <w:r>
        <w:t>.</w:t>
      </w:r>
      <w:proofErr w:type="spellStart"/>
      <w:r>
        <w:t>ipynb</w:t>
      </w:r>
      <w:proofErr w:type="spellEnd"/>
      <w:r>
        <w:t>。</w:t>
      </w:r>
    </w:p>
    <w:p w14:paraId="6FD924F6" w14:textId="77777777" w:rsidR="004B103D" w:rsidRDefault="00000000">
      <w:pPr>
        <w:spacing w:line="360" w:lineRule="auto"/>
        <w:ind w:firstLine="480"/>
      </w:pPr>
      <w:r>
        <w:t>数据预处理包括：检查缺失值（</w:t>
      </w:r>
      <w:r>
        <w:t>Postcode</w:t>
      </w:r>
      <w:r>
        <w:t>缺失</w:t>
      </w:r>
      <w:r>
        <w:t>1,522</w:t>
      </w:r>
      <w:r>
        <w:t>条，</w:t>
      </w:r>
      <w:r>
        <w:t>Phone Number</w:t>
      </w:r>
      <w:r>
        <w:t>缺失</w:t>
      </w:r>
      <w:r>
        <w:t>6,861</w:t>
      </w:r>
      <w:r>
        <w:t>条，已做排除处理）；确认数据一致性（</w:t>
      </w:r>
      <w:r>
        <w:t>Brand</w:t>
      </w:r>
      <w:proofErr w:type="gramStart"/>
      <w:r>
        <w:t>列除</w:t>
      </w:r>
      <w:proofErr w:type="gramEnd"/>
      <w:r>
        <w:t>Starbucks</w:t>
      </w:r>
      <w:r>
        <w:t>外还包括</w:t>
      </w:r>
      <w:r>
        <w:t>Teavana</w:t>
      </w:r>
      <w:r>
        <w:t>、</w:t>
      </w:r>
      <w:r>
        <w:t>Evolution Fresh</w:t>
      </w:r>
      <w:r>
        <w:t>和</w:t>
      </w:r>
      <w:r>
        <w:t>Coffee House Holdings</w:t>
      </w:r>
      <w:r>
        <w:t>三个子品牌，合计占比约</w:t>
      </w:r>
      <w:r>
        <w:t>1.4%</w:t>
      </w:r>
      <w:r>
        <w:t>）。</w:t>
      </w:r>
    </w:p>
    <w:p w14:paraId="786BE880" w14:textId="77777777" w:rsidR="004B103D" w:rsidRDefault="00000000">
      <w:pPr>
        <w:pStyle w:val="3"/>
        <w:rPr>
          <w:rFonts w:hint="eastAsia"/>
        </w:rPr>
      </w:pPr>
      <w:bookmarkStart w:id="30" w:name="_Toc233276467"/>
      <w:r>
        <w:t>5.1.2　全球门店分布分析</w:t>
      </w:r>
      <w:bookmarkEnd w:id="30"/>
    </w:p>
    <w:p w14:paraId="5EC36F82" w14:textId="77777777" w:rsidR="004B103D" w:rsidRDefault="00000000">
      <w:pPr>
        <w:spacing w:line="360" w:lineRule="auto"/>
        <w:ind w:firstLine="480"/>
      </w:pPr>
      <w:r>
        <w:t>统计结果显示，全球共有</w:t>
      </w:r>
      <w:r>
        <w:t>73</w:t>
      </w:r>
      <w:r>
        <w:t>个国家和地区开设了星巴克门店。门店数量排名前</w:t>
      </w:r>
      <w:r>
        <w:t>10</w:t>
      </w:r>
      <w:r>
        <w:t>的国家依次为：美国（</w:t>
      </w:r>
      <w:r>
        <w:t>US</w:t>
      </w:r>
      <w:r>
        <w:t>）</w:t>
      </w:r>
      <w:r>
        <w:t>13,608</w:t>
      </w:r>
      <w:r>
        <w:t>家、中国（</w:t>
      </w:r>
      <w:r>
        <w:t>CN</w:t>
      </w:r>
      <w:r>
        <w:t>）</w:t>
      </w:r>
      <w:r>
        <w:t>2,734</w:t>
      </w:r>
      <w:r>
        <w:t>家、加拿大（</w:t>
      </w:r>
      <w:r>
        <w:t>CA</w:t>
      </w:r>
      <w:r>
        <w:t>）</w:t>
      </w:r>
      <w:r>
        <w:t>1,468</w:t>
      </w:r>
      <w:r>
        <w:t>家、日本（</w:t>
      </w:r>
      <w:r>
        <w:t>JP</w:t>
      </w:r>
      <w:r>
        <w:t>）</w:t>
      </w:r>
      <w:r>
        <w:t>1,237</w:t>
      </w:r>
      <w:r>
        <w:t>家、韩国（</w:t>
      </w:r>
      <w:r>
        <w:t>KR</w:t>
      </w:r>
      <w:r>
        <w:t>）</w:t>
      </w:r>
      <w:r>
        <w:t>993</w:t>
      </w:r>
      <w:r>
        <w:t>家、英国（</w:t>
      </w:r>
      <w:r>
        <w:t>GB</w:t>
      </w:r>
      <w:r>
        <w:t>）</w:t>
      </w:r>
      <w:r>
        <w:t>901</w:t>
      </w:r>
      <w:r>
        <w:t>家、墨西哥（</w:t>
      </w:r>
      <w:r>
        <w:t>MX</w:t>
      </w:r>
      <w:r>
        <w:t>）</w:t>
      </w:r>
      <w:r>
        <w:t>579</w:t>
      </w:r>
      <w:r>
        <w:t>家、中国台湾（</w:t>
      </w:r>
      <w:r>
        <w:t>TW</w:t>
      </w:r>
      <w:r>
        <w:t>）</w:t>
      </w:r>
      <w:r>
        <w:t>394</w:t>
      </w:r>
      <w:r>
        <w:t>家、土耳其（</w:t>
      </w:r>
      <w:r>
        <w:t>TR</w:t>
      </w:r>
      <w:r>
        <w:t>）</w:t>
      </w:r>
      <w:r>
        <w:t>326</w:t>
      </w:r>
      <w:r>
        <w:t>家、菲律宾（</w:t>
      </w:r>
      <w:r>
        <w:t>PH</w:t>
      </w:r>
      <w:r>
        <w:t>）</w:t>
      </w:r>
      <w:r>
        <w:t>298</w:t>
      </w:r>
      <w:r>
        <w:t>家。其中美国门店数量占全球总数的</w:t>
      </w:r>
      <w:r>
        <w:t>53.2%</w:t>
      </w:r>
      <w:r>
        <w:t>，远超其他国家。中国以</w:t>
      </w:r>
      <w:r>
        <w:t>2,734</w:t>
      </w:r>
      <w:r>
        <w:t>家门店位居第二。</w:t>
      </w:r>
    </w:p>
    <w:p w14:paraId="0A99B58E" w14:textId="77777777" w:rsidR="004B103D" w:rsidRDefault="00000000">
      <w:pPr>
        <w:spacing w:before="120" w:after="60"/>
        <w:jc w:val="center"/>
      </w:pPr>
      <w:r>
        <w:rPr>
          <w:noProof/>
        </w:rPr>
        <w:drawing>
          <wp:inline distT="0" distB="0" distL="0" distR="0" wp14:anchorId="05FF109F" wp14:editId="252D49C1">
            <wp:extent cx="4953000" cy="2286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286000"/>
                    </a:xfrm>
                    <a:prstGeom prst="rect">
                      <a:avLst/>
                    </a:prstGeom>
                  </pic:spPr>
                </pic:pic>
              </a:graphicData>
            </a:graphic>
          </wp:inline>
        </w:drawing>
      </w:r>
    </w:p>
    <w:p w14:paraId="45D6CE92" w14:textId="77777777" w:rsidR="004B103D" w:rsidRDefault="00000000">
      <w:pPr>
        <w:spacing w:before="60" w:line="360" w:lineRule="auto"/>
        <w:jc w:val="center"/>
      </w:pPr>
      <w:r>
        <w:rPr>
          <w:sz w:val="21"/>
          <w:szCs w:val="21"/>
        </w:rPr>
        <w:t>图</w:t>
      </w:r>
      <w:r>
        <w:rPr>
          <w:sz w:val="21"/>
          <w:szCs w:val="21"/>
        </w:rPr>
        <w:t>5-1</w:t>
      </w:r>
      <w:r>
        <w:rPr>
          <w:sz w:val="21"/>
          <w:szCs w:val="21"/>
        </w:rPr>
        <w:t xml:space="preserve">　</w:t>
      </w:r>
      <w:proofErr w:type="gramStart"/>
      <w:r>
        <w:rPr>
          <w:sz w:val="21"/>
          <w:szCs w:val="21"/>
        </w:rPr>
        <w:t>星巴克门</w:t>
      </w:r>
      <w:proofErr w:type="gramEnd"/>
      <w:r>
        <w:rPr>
          <w:sz w:val="21"/>
          <w:szCs w:val="21"/>
        </w:rPr>
        <w:t>店数量前</w:t>
      </w:r>
      <w:proofErr w:type="gramStart"/>
      <w:r>
        <w:rPr>
          <w:sz w:val="21"/>
          <w:szCs w:val="21"/>
        </w:rPr>
        <w:t>十国家</w:t>
      </w:r>
      <w:proofErr w:type="gramEnd"/>
      <w:r>
        <w:rPr>
          <w:sz w:val="21"/>
          <w:szCs w:val="21"/>
        </w:rPr>
        <w:t>分布（柱形图</w:t>
      </w:r>
      <w:r>
        <w:rPr>
          <w:sz w:val="21"/>
          <w:szCs w:val="21"/>
        </w:rPr>
        <w:t>+</w:t>
      </w:r>
      <w:r>
        <w:rPr>
          <w:sz w:val="21"/>
          <w:szCs w:val="21"/>
        </w:rPr>
        <w:t>饼图）</w:t>
      </w:r>
    </w:p>
    <w:p w14:paraId="5CBF838A" w14:textId="77777777" w:rsidR="004B103D" w:rsidRDefault="004B103D">
      <w:pPr>
        <w:spacing w:line="360" w:lineRule="auto"/>
      </w:pPr>
    </w:p>
    <w:p w14:paraId="3A26306E" w14:textId="77777777" w:rsidR="004B103D" w:rsidRDefault="00000000">
      <w:pPr>
        <w:pStyle w:val="3"/>
        <w:rPr>
          <w:rFonts w:hint="eastAsia"/>
        </w:rPr>
      </w:pPr>
      <w:bookmarkStart w:id="31" w:name="_Toc233276468"/>
      <w:r>
        <w:t>5.1.3　经营方式分析</w:t>
      </w:r>
      <w:bookmarkEnd w:id="31"/>
    </w:p>
    <w:p w14:paraId="661CC9FE" w14:textId="77777777" w:rsidR="004B103D" w:rsidRDefault="00000000">
      <w:pPr>
        <w:spacing w:line="360" w:lineRule="auto"/>
        <w:ind w:firstLine="480"/>
      </w:pPr>
      <w:r>
        <w:t>星巴克门店的经营方式分为四类：公司直营（</w:t>
      </w:r>
      <w:r>
        <w:t>Company Owned</w:t>
      </w:r>
      <w:r>
        <w:t>）</w:t>
      </w:r>
      <w:r>
        <w:t>11,932</w:t>
      </w:r>
      <w:r>
        <w:t>家（</w:t>
      </w:r>
      <w:r>
        <w:t>46.6%</w:t>
      </w:r>
      <w:r>
        <w:t>）、授权经营（</w:t>
      </w:r>
      <w:r>
        <w:t>Licensed</w:t>
      </w:r>
      <w:r>
        <w:t>）</w:t>
      </w:r>
      <w:r>
        <w:t>13,375</w:t>
      </w:r>
      <w:r>
        <w:t>家（</w:t>
      </w:r>
      <w:r>
        <w:t>52.2%</w:t>
      </w:r>
      <w:r>
        <w:t>）、合资经营（</w:t>
      </w:r>
      <w:r>
        <w:t>Joint Venture</w:t>
      </w:r>
      <w:r>
        <w:t>）</w:t>
      </w:r>
      <w:r>
        <w:t>237</w:t>
      </w:r>
      <w:r>
        <w:t>家（</w:t>
      </w:r>
      <w:r>
        <w:t>0.9%</w:t>
      </w:r>
      <w:r>
        <w:t>）、特许经营（</w:t>
      </w:r>
      <w:r>
        <w:t>Franchise</w:t>
      </w:r>
      <w:r>
        <w:t>）</w:t>
      </w:r>
      <w:r>
        <w:t>56</w:t>
      </w:r>
      <w:r>
        <w:t>家（</w:t>
      </w:r>
      <w:r>
        <w:t>0.2%</w:t>
      </w:r>
      <w:r>
        <w:t>）。授权经营在全球范围内占比最高，但公司直</w:t>
      </w:r>
      <w:proofErr w:type="gramStart"/>
      <w:r>
        <w:t>营仍然</w:t>
      </w:r>
      <w:proofErr w:type="gramEnd"/>
      <w:r>
        <w:t>是</w:t>
      </w:r>
      <w:proofErr w:type="gramStart"/>
      <w:r>
        <w:t>最</w:t>
      </w:r>
      <w:proofErr w:type="gramEnd"/>
      <w:r>
        <w:t>核心的模式。图</w:t>
      </w:r>
      <w:r>
        <w:t>5-2</w:t>
      </w:r>
      <w:r>
        <w:t>同时展示了</w:t>
      </w:r>
      <w:r>
        <w:t>Matplotlib</w:t>
      </w:r>
      <w:r>
        <w:t>和</w:t>
      </w:r>
      <w:r>
        <w:t>Seaborn</w:t>
      </w:r>
      <w:r>
        <w:t>两种</w:t>
      </w:r>
      <w:r>
        <w:t>API</w:t>
      </w:r>
      <w:r>
        <w:t>在绘制相同数据时的不同代码风格和默认视觉效果，是三大库对比的直观例证。</w:t>
      </w:r>
    </w:p>
    <w:p w14:paraId="797E13E6" w14:textId="77777777" w:rsidR="004B103D" w:rsidRDefault="00000000">
      <w:pPr>
        <w:spacing w:before="120" w:after="60"/>
        <w:jc w:val="center"/>
      </w:pPr>
      <w:r>
        <w:rPr>
          <w:noProof/>
        </w:rPr>
        <w:drawing>
          <wp:inline distT="0" distB="0" distL="0" distR="0" wp14:anchorId="5573281C" wp14:editId="3DD6A073">
            <wp:extent cx="5143500" cy="20955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095500"/>
                    </a:xfrm>
                    <a:prstGeom prst="rect">
                      <a:avLst/>
                    </a:prstGeom>
                  </pic:spPr>
                </pic:pic>
              </a:graphicData>
            </a:graphic>
          </wp:inline>
        </w:drawing>
      </w:r>
    </w:p>
    <w:p w14:paraId="74CE5DB5" w14:textId="77777777" w:rsidR="004B103D" w:rsidRDefault="00000000">
      <w:pPr>
        <w:spacing w:before="60" w:line="360" w:lineRule="auto"/>
        <w:jc w:val="center"/>
      </w:pPr>
      <w:r>
        <w:rPr>
          <w:sz w:val="21"/>
          <w:szCs w:val="21"/>
        </w:rPr>
        <w:t>图</w:t>
      </w:r>
      <w:r>
        <w:rPr>
          <w:sz w:val="21"/>
          <w:szCs w:val="21"/>
        </w:rPr>
        <w:t>5-2</w:t>
      </w:r>
      <w:r>
        <w:rPr>
          <w:sz w:val="21"/>
          <w:szCs w:val="21"/>
        </w:rPr>
        <w:t xml:space="preserve">　</w:t>
      </w:r>
      <w:proofErr w:type="gramStart"/>
      <w:r>
        <w:rPr>
          <w:sz w:val="21"/>
          <w:szCs w:val="21"/>
        </w:rPr>
        <w:t>星巴克门</w:t>
      </w:r>
      <w:proofErr w:type="gramEnd"/>
      <w:r>
        <w:rPr>
          <w:sz w:val="21"/>
          <w:szCs w:val="21"/>
        </w:rPr>
        <w:t>店经营方式分布（三图对比：</w:t>
      </w:r>
      <w:proofErr w:type="gramStart"/>
      <w:r>
        <w:rPr>
          <w:sz w:val="21"/>
          <w:szCs w:val="21"/>
        </w:rPr>
        <w:t>饼图</w:t>
      </w:r>
      <w:proofErr w:type="gramEnd"/>
      <w:r>
        <w:rPr>
          <w:sz w:val="21"/>
          <w:szCs w:val="21"/>
        </w:rPr>
        <w:t xml:space="preserve"> + Matplotlib</w:t>
      </w:r>
      <w:r>
        <w:rPr>
          <w:sz w:val="21"/>
          <w:szCs w:val="21"/>
        </w:rPr>
        <w:t>柱形图</w:t>
      </w:r>
      <w:r>
        <w:rPr>
          <w:sz w:val="21"/>
          <w:szCs w:val="21"/>
        </w:rPr>
        <w:t xml:space="preserve"> + Seaborn</w:t>
      </w:r>
      <w:r>
        <w:rPr>
          <w:sz w:val="21"/>
          <w:szCs w:val="21"/>
        </w:rPr>
        <w:t>柱形图）</w:t>
      </w:r>
    </w:p>
    <w:p w14:paraId="2BEDCC09" w14:textId="77777777" w:rsidR="004B103D" w:rsidRDefault="004B103D">
      <w:pPr>
        <w:spacing w:line="360" w:lineRule="auto"/>
      </w:pPr>
    </w:p>
    <w:p w14:paraId="5CB942AB" w14:textId="77777777" w:rsidR="004B103D" w:rsidRDefault="00000000">
      <w:pPr>
        <w:pStyle w:val="3"/>
        <w:rPr>
          <w:rFonts w:hint="eastAsia"/>
        </w:rPr>
      </w:pPr>
      <w:bookmarkStart w:id="32" w:name="_Toc233276469"/>
      <w:r>
        <w:t>5.1.4　中国市场深度分析</w:t>
      </w:r>
      <w:bookmarkEnd w:id="32"/>
    </w:p>
    <w:p w14:paraId="4A3F8C50" w14:textId="77777777" w:rsidR="004B103D" w:rsidRDefault="00000000">
      <w:pPr>
        <w:spacing w:line="360" w:lineRule="auto"/>
        <w:ind w:firstLine="480"/>
      </w:pPr>
      <w:r>
        <w:t>筛选中国（</w:t>
      </w:r>
      <w:r>
        <w:t>Country='CN'</w:t>
      </w:r>
      <w:r>
        <w:t>）数据后，共获得</w:t>
      </w:r>
      <w:r>
        <w:t>2,734</w:t>
      </w:r>
      <w:r>
        <w:t>家门店记录。中国门店数量排名前</w:t>
      </w:r>
      <w:r>
        <w:t>10</w:t>
      </w:r>
      <w:r>
        <w:t>的城市为：上海市</w:t>
      </w:r>
      <w:r>
        <w:t>542</w:t>
      </w:r>
      <w:r>
        <w:t>家、北京市</w:t>
      </w:r>
      <w:r>
        <w:t>234</w:t>
      </w:r>
      <w:r>
        <w:t>家、杭州市</w:t>
      </w:r>
      <w:r>
        <w:t>156</w:t>
      </w:r>
      <w:r>
        <w:t>家、深圳市</w:t>
      </w:r>
      <w:r>
        <w:t>152</w:t>
      </w:r>
      <w:r>
        <w:t>家、广州市</w:t>
      </w:r>
      <w:r>
        <w:t>147</w:t>
      </w:r>
      <w:r>
        <w:t>家、苏州市</w:t>
      </w:r>
      <w:r>
        <w:t>142</w:t>
      </w:r>
      <w:r>
        <w:t>家、南京市</w:t>
      </w:r>
      <w:r>
        <w:t>118</w:t>
      </w:r>
      <w:r>
        <w:t>家、成都市</w:t>
      </w:r>
      <w:r>
        <w:t>110</w:t>
      </w:r>
      <w:r>
        <w:t>家、武汉市</w:t>
      </w:r>
      <w:r>
        <w:t>102</w:t>
      </w:r>
      <w:r>
        <w:t>家、天津市</w:t>
      </w:r>
      <w:r>
        <w:t>96</w:t>
      </w:r>
      <w:r>
        <w:t>家。上海以绝对优势位居首位，其门店数量超过北京的两倍以上，同时在全球城市排名中也位列第一。前</w:t>
      </w:r>
      <w:r>
        <w:t>10</w:t>
      </w:r>
      <w:r>
        <w:t>城市主要集中在东部沿海发达地区，呈现出明显的区域集聚特征。</w:t>
      </w:r>
    </w:p>
    <w:p w14:paraId="02F6AC03" w14:textId="77777777" w:rsidR="004B103D" w:rsidRDefault="00000000">
      <w:pPr>
        <w:spacing w:before="120" w:after="60"/>
        <w:jc w:val="center"/>
      </w:pPr>
      <w:r>
        <w:rPr>
          <w:noProof/>
        </w:rPr>
        <w:lastRenderedPageBreak/>
        <w:drawing>
          <wp:inline distT="0" distB="0" distL="0" distR="0" wp14:anchorId="6DD6334B" wp14:editId="4D7AA414">
            <wp:extent cx="4953000" cy="22860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286000"/>
                    </a:xfrm>
                    <a:prstGeom prst="rect">
                      <a:avLst/>
                    </a:prstGeom>
                  </pic:spPr>
                </pic:pic>
              </a:graphicData>
            </a:graphic>
          </wp:inline>
        </w:drawing>
      </w:r>
    </w:p>
    <w:p w14:paraId="4C31A57D" w14:textId="77777777" w:rsidR="004B103D" w:rsidRDefault="00000000">
      <w:pPr>
        <w:spacing w:before="60" w:line="360" w:lineRule="auto"/>
        <w:jc w:val="center"/>
      </w:pPr>
      <w:r>
        <w:rPr>
          <w:sz w:val="21"/>
          <w:szCs w:val="21"/>
        </w:rPr>
        <w:t>图</w:t>
      </w:r>
      <w:r>
        <w:rPr>
          <w:sz w:val="21"/>
          <w:szCs w:val="21"/>
        </w:rPr>
        <w:t>5-3</w:t>
      </w:r>
      <w:r>
        <w:rPr>
          <w:sz w:val="21"/>
          <w:szCs w:val="21"/>
        </w:rPr>
        <w:t xml:space="preserve">　中国星巴克门店数量前十城市分布</w:t>
      </w:r>
    </w:p>
    <w:p w14:paraId="27A6814F" w14:textId="77777777" w:rsidR="004B103D" w:rsidRDefault="004B103D">
      <w:pPr>
        <w:spacing w:line="360" w:lineRule="auto"/>
      </w:pPr>
    </w:p>
    <w:p w14:paraId="39BB7676" w14:textId="77777777" w:rsidR="004B103D" w:rsidRDefault="00000000">
      <w:pPr>
        <w:pStyle w:val="2"/>
        <w:rPr>
          <w:rFonts w:hint="eastAsia"/>
        </w:rPr>
      </w:pPr>
      <w:bookmarkStart w:id="33" w:name="_Toc233276470"/>
      <w:r>
        <w:t>5.2　案例二：泰坦尼克号乘客数据可视化分析</w:t>
      </w:r>
      <w:bookmarkEnd w:id="33"/>
    </w:p>
    <w:p w14:paraId="67BC60A3" w14:textId="77777777" w:rsidR="004B103D" w:rsidRDefault="00000000">
      <w:pPr>
        <w:pStyle w:val="3"/>
        <w:rPr>
          <w:rFonts w:hint="eastAsia"/>
        </w:rPr>
      </w:pPr>
      <w:bookmarkStart w:id="34" w:name="_Toc233276471"/>
      <w:r>
        <w:t>5.2.1　数据概况</w:t>
      </w:r>
      <w:bookmarkEnd w:id="34"/>
    </w:p>
    <w:p w14:paraId="40D429E7" w14:textId="77777777" w:rsidR="004B103D" w:rsidRDefault="00000000">
      <w:pPr>
        <w:spacing w:line="360" w:lineRule="auto"/>
        <w:ind w:firstLine="480"/>
      </w:pPr>
      <w:r>
        <w:t>本案例使用</w:t>
      </w:r>
      <w:r>
        <w:t>Seaborn</w:t>
      </w:r>
      <w:r>
        <w:t>内置的泰坦尼克号数据集（</w:t>
      </w:r>
      <w:r>
        <w:t>891</w:t>
      </w:r>
      <w:r>
        <w:t>条乘客记录，</w:t>
      </w:r>
      <w:r>
        <w:t>15</w:t>
      </w:r>
      <w:r>
        <w:t>个字段），包含乘客是否生还（</w:t>
      </w:r>
      <w:r>
        <w:t>survived</w:t>
      </w:r>
      <w:r>
        <w:t>）、船舱等级（</w:t>
      </w:r>
      <w:proofErr w:type="spellStart"/>
      <w:r>
        <w:t>pclass</w:t>
      </w:r>
      <w:proofErr w:type="spellEnd"/>
      <w:r>
        <w:t>）、性别（</w:t>
      </w:r>
      <w:r>
        <w:t>sex</w:t>
      </w:r>
      <w:r>
        <w:t>）、年龄（</w:t>
      </w:r>
      <w:r>
        <w:t>age</w:t>
      </w:r>
      <w:r>
        <w:t>）、登船地点（</w:t>
      </w:r>
      <w:r>
        <w:t>embarked</w:t>
      </w:r>
      <w:r>
        <w:t>）、票价（</w:t>
      </w:r>
      <w:r>
        <w:t>fare</w:t>
      </w:r>
      <w:r>
        <w:t>）等关键信息。分析代码见泰坦尼克号生还者数据分析</w:t>
      </w:r>
      <w:r>
        <w:t>.</w:t>
      </w:r>
      <w:proofErr w:type="spellStart"/>
      <w:r>
        <w:t>ipynb</w:t>
      </w:r>
      <w:proofErr w:type="spellEnd"/>
      <w:r>
        <w:t>。数据预处理步骤：年龄字段有</w:t>
      </w:r>
      <w:r>
        <w:t>177</w:t>
      </w:r>
      <w:r>
        <w:t>个缺失值，使用均值填充（均值为</w:t>
      </w:r>
      <w:r>
        <w:t>29.7</w:t>
      </w:r>
      <w:r>
        <w:t>岁）；登船地点有</w:t>
      </w:r>
      <w:r>
        <w:t>2</w:t>
      </w:r>
      <w:r>
        <w:t>个缺失值，以众数</w:t>
      </w:r>
      <w:r>
        <w:t>'S'</w:t>
      </w:r>
      <w:r>
        <w:t>（</w:t>
      </w:r>
      <w:r>
        <w:t>Southampton</w:t>
      </w:r>
      <w:r>
        <w:t>）填充；甲板字段（</w:t>
      </w:r>
      <w:r>
        <w:t>deck</w:t>
      </w:r>
      <w:r>
        <w:t>）缺失</w:t>
      </w:r>
      <w:r>
        <w:t>688</w:t>
      </w:r>
      <w:r>
        <w:t>个（</w:t>
      </w:r>
      <w:r>
        <w:t>77.2%</w:t>
      </w:r>
      <w:r>
        <w:t>），因</w:t>
      </w:r>
      <w:proofErr w:type="gramStart"/>
      <w:r>
        <w:t>缺失率</w:t>
      </w:r>
      <w:proofErr w:type="gramEnd"/>
      <w:r>
        <w:t>过高予以删除。</w:t>
      </w:r>
    </w:p>
    <w:p w14:paraId="265850D8" w14:textId="77777777" w:rsidR="004B103D" w:rsidRDefault="00000000">
      <w:pPr>
        <w:pStyle w:val="3"/>
        <w:rPr>
          <w:rFonts w:hint="eastAsia"/>
        </w:rPr>
      </w:pPr>
      <w:bookmarkStart w:id="35" w:name="_Toc233276472"/>
      <w:r>
        <w:t>5.2.2　乘客构成分析</w:t>
      </w:r>
      <w:bookmarkEnd w:id="35"/>
    </w:p>
    <w:p w14:paraId="252244B7" w14:textId="77777777" w:rsidR="004B103D" w:rsidRDefault="00000000">
      <w:pPr>
        <w:spacing w:line="360" w:lineRule="auto"/>
        <w:ind w:firstLine="480"/>
      </w:pPr>
      <w:r>
        <w:t>从年龄分布来看，乘客年龄集中在</w:t>
      </w:r>
      <w:r>
        <w:t>20-40</w:t>
      </w:r>
      <w:r>
        <w:t>岁区间，中位数约为</w:t>
      </w:r>
      <w:r>
        <w:t>28</w:t>
      </w:r>
      <w:r>
        <w:t>岁。将年龄分级后：小孩（</w:t>
      </w:r>
      <w:r>
        <w:t>≤18</w:t>
      </w:r>
      <w:r>
        <w:t>岁）</w:t>
      </w:r>
      <w:r>
        <w:t>139</w:t>
      </w:r>
      <w:r>
        <w:t>人（</w:t>
      </w:r>
      <w:r>
        <w:t>15.6%</w:t>
      </w:r>
      <w:r>
        <w:t>）、成人（</w:t>
      </w:r>
      <w:r>
        <w:t>19-60</w:t>
      </w:r>
      <w:r>
        <w:t>岁）</w:t>
      </w:r>
      <w:r>
        <w:t>730</w:t>
      </w:r>
      <w:r>
        <w:t>人（</w:t>
      </w:r>
      <w:r>
        <w:t>81.9%</w:t>
      </w:r>
      <w:r>
        <w:t>）、老人（</w:t>
      </w:r>
      <w:r>
        <w:t>&gt;60</w:t>
      </w:r>
      <w:r>
        <w:t>岁）</w:t>
      </w:r>
      <w:r>
        <w:t>22</w:t>
      </w:r>
      <w:r>
        <w:t>人（</w:t>
      </w:r>
      <w:r>
        <w:t>2.5%</w:t>
      </w:r>
      <w:r>
        <w:t>）。从性别分布看，男性</w:t>
      </w:r>
      <w:r>
        <w:t>577</w:t>
      </w:r>
      <w:r>
        <w:t>人（</w:t>
      </w:r>
      <w:r>
        <w:t>64.8%</w:t>
      </w:r>
      <w:r>
        <w:t>），女性</w:t>
      </w:r>
      <w:r>
        <w:t>314</w:t>
      </w:r>
      <w:r>
        <w:t>人（</w:t>
      </w:r>
      <w:r>
        <w:t>35.2%</w:t>
      </w:r>
      <w:r>
        <w:t>）。从船舱等级看，三等舱</w:t>
      </w:r>
      <w:r>
        <w:t>491</w:t>
      </w:r>
      <w:r>
        <w:t>人（</w:t>
      </w:r>
      <w:r>
        <w:t>55.1%</w:t>
      </w:r>
      <w:r>
        <w:t>）、一等舱</w:t>
      </w:r>
      <w:r>
        <w:t>216</w:t>
      </w:r>
      <w:r>
        <w:t>人（</w:t>
      </w:r>
      <w:r>
        <w:t>24.2%</w:t>
      </w:r>
      <w:r>
        <w:t>）、二等舱</w:t>
      </w:r>
      <w:r>
        <w:t>184</w:t>
      </w:r>
      <w:r>
        <w:t>人（</w:t>
      </w:r>
      <w:r>
        <w:t>20.7%</w:t>
      </w:r>
      <w:r>
        <w:t>），三等舱乘客占多数。图</w:t>
      </w:r>
      <w:r>
        <w:t>5-4</w:t>
      </w:r>
      <w:r>
        <w:t>综合展示了上述基本信息。</w:t>
      </w:r>
    </w:p>
    <w:p w14:paraId="2EB2D695" w14:textId="77777777" w:rsidR="004B103D" w:rsidRDefault="00000000">
      <w:pPr>
        <w:spacing w:before="120" w:after="60"/>
        <w:jc w:val="center"/>
      </w:pPr>
      <w:r>
        <w:rPr>
          <w:noProof/>
        </w:rPr>
        <w:lastRenderedPageBreak/>
        <w:drawing>
          <wp:inline distT="0" distB="0" distL="0" distR="0" wp14:anchorId="74F57964" wp14:editId="083EE146">
            <wp:extent cx="4762500" cy="37147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3714750"/>
                    </a:xfrm>
                    <a:prstGeom prst="rect">
                      <a:avLst/>
                    </a:prstGeom>
                  </pic:spPr>
                </pic:pic>
              </a:graphicData>
            </a:graphic>
          </wp:inline>
        </w:drawing>
      </w:r>
    </w:p>
    <w:p w14:paraId="1DDECB27" w14:textId="77777777" w:rsidR="004B103D" w:rsidRDefault="00000000">
      <w:pPr>
        <w:spacing w:before="60" w:line="360" w:lineRule="auto"/>
        <w:jc w:val="center"/>
      </w:pPr>
      <w:r>
        <w:rPr>
          <w:sz w:val="21"/>
          <w:szCs w:val="21"/>
        </w:rPr>
        <w:t>图</w:t>
      </w:r>
      <w:r>
        <w:rPr>
          <w:sz w:val="21"/>
          <w:szCs w:val="21"/>
        </w:rPr>
        <w:t>5-4</w:t>
      </w:r>
      <w:r>
        <w:rPr>
          <w:sz w:val="21"/>
          <w:szCs w:val="21"/>
        </w:rPr>
        <w:t xml:space="preserve">　泰坦尼克号乘客基本特征分布（年龄、性别、船舱等级、年龄段）</w:t>
      </w:r>
    </w:p>
    <w:p w14:paraId="0724536A" w14:textId="77777777" w:rsidR="004B103D" w:rsidRDefault="004B103D">
      <w:pPr>
        <w:spacing w:line="360" w:lineRule="auto"/>
      </w:pPr>
    </w:p>
    <w:p w14:paraId="17A0BE7C" w14:textId="77777777" w:rsidR="004B103D" w:rsidRDefault="00000000">
      <w:pPr>
        <w:pStyle w:val="3"/>
        <w:rPr>
          <w:rFonts w:hint="eastAsia"/>
        </w:rPr>
      </w:pPr>
      <w:bookmarkStart w:id="36" w:name="_Toc233276473"/>
      <w:r>
        <w:t>5.2.3　生还因素分析</w:t>
      </w:r>
      <w:bookmarkEnd w:id="36"/>
    </w:p>
    <w:p w14:paraId="0CB85EA3" w14:textId="77777777" w:rsidR="004B103D" w:rsidRDefault="00000000">
      <w:pPr>
        <w:spacing w:line="360" w:lineRule="auto"/>
        <w:ind w:firstLine="480"/>
      </w:pPr>
      <w:r>
        <w:t>生还情况分析表明：女性的生还率（</w:t>
      </w:r>
      <w:r>
        <w:t>74.2%</w:t>
      </w:r>
      <w:r>
        <w:t>）远高于男性（</w:t>
      </w:r>
      <w:r>
        <w:t>18.9%</w:t>
      </w:r>
      <w:r>
        <w:t>），这与历史上</w:t>
      </w:r>
      <w:r>
        <w:t>"</w:t>
      </w:r>
      <w:r>
        <w:t>妇女儿童优先</w:t>
      </w:r>
      <w:r>
        <w:t>"</w:t>
      </w:r>
      <w:r>
        <w:t>的救援原则相符；一等舱乘客的生还率（</w:t>
      </w:r>
      <w:r>
        <w:t>62.9%</w:t>
      </w:r>
      <w:r>
        <w:t>）显著高于三等舱（</w:t>
      </w:r>
      <w:r>
        <w:t>24.2%</w:t>
      </w:r>
      <w:r>
        <w:t>），揭示出社会经济地位对生存机会的影响；小孩的生还率（</w:t>
      </w:r>
      <w:r>
        <w:t>53.9%</w:t>
      </w:r>
      <w:r>
        <w:t>）高于成人（</w:t>
      </w:r>
      <w:r>
        <w:t>38.1%</w:t>
      </w:r>
      <w:r>
        <w:t>）和老人（</w:t>
      </w:r>
      <w:r>
        <w:t>22.7%</w:t>
      </w:r>
      <w:r>
        <w:t>）。图</w:t>
      </w:r>
      <w:r>
        <w:t>5-5</w:t>
      </w:r>
      <w:r>
        <w:t>从年龄分布、性别、年龄段和船舱等级四个维</w:t>
      </w:r>
      <w:proofErr w:type="gramStart"/>
      <w:r>
        <w:t>度展示</w:t>
      </w:r>
      <w:proofErr w:type="gramEnd"/>
      <w:r>
        <w:t>了生还情况的对比分析。</w:t>
      </w:r>
    </w:p>
    <w:p w14:paraId="1813408D" w14:textId="77777777" w:rsidR="004B103D" w:rsidRDefault="00000000">
      <w:pPr>
        <w:spacing w:before="120" w:after="60"/>
        <w:jc w:val="center"/>
      </w:pPr>
      <w:r>
        <w:rPr>
          <w:noProof/>
        </w:rPr>
        <w:lastRenderedPageBreak/>
        <w:drawing>
          <wp:inline distT="0" distB="0" distL="0" distR="0" wp14:anchorId="6F54FC4A" wp14:editId="2A5F9620">
            <wp:extent cx="4762500" cy="37147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3714750"/>
                    </a:xfrm>
                    <a:prstGeom prst="rect">
                      <a:avLst/>
                    </a:prstGeom>
                  </pic:spPr>
                </pic:pic>
              </a:graphicData>
            </a:graphic>
          </wp:inline>
        </w:drawing>
      </w:r>
    </w:p>
    <w:p w14:paraId="35A01094" w14:textId="77777777" w:rsidR="004B103D" w:rsidRDefault="00000000">
      <w:pPr>
        <w:spacing w:before="60" w:line="360" w:lineRule="auto"/>
        <w:jc w:val="center"/>
      </w:pPr>
      <w:r>
        <w:rPr>
          <w:sz w:val="21"/>
          <w:szCs w:val="21"/>
        </w:rPr>
        <w:t>图</w:t>
      </w:r>
      <w:r>
        <w:rPr>
          <w:sz w:val="21"/>
          <w:szCs w:val="21"/>
        </w:rPr>
        <w:t>5-5</w:t>
      </w:r>
      <w:r>
        <w:rPr>
          <w:sz w:val="21"/>
          <w:szCs w:val="21"/>
        </w:rPr>
        <w:t xml:space="preserve">　泰坦尼克号乘客生还情况多维分析</w:t>
      </w:r>
    </w:p>
    <w:p w14:paraId="58A8CFD0" w14:textId="77777777" w:rsidR="004B103D" w:rsidRDefault="004B103D">
      <w:pPr>
        <w:spacing w:line="360" w:lineRule="auto"/>
      </w:pPr>
    </w:p>
    <w:p w14:paraId="5F39346E" w14:textId="77777777" w:rsidR="004B103D" w:rsidRDefault="00000000">
      <w:pPr>
        <w:pStyle w:val="2"/>
        <w:rPr>
          <w:rFonts w:hint="eastAsia"/>
        </w:rPr>
      </w:pPr>
      <w:bookmarkStart w:id="37" w:name="_Toc233276474"/>
      <w:r>
        <w:t>5.3　案例小结</w:t>
      </w:r>
      <w:bookmarkEnd w:id="37"/>
    </w:p>
    <w:p w14:paraId="309D3FF2" w14:textId="77777777" w:rsidR="004B103D" w:rsidRDefault="00000000">
      <w:pPr>
        <w:spacing w:line="360" w:lineRule="auto"/>
        <w:ind w:firstLine="480"/>
      </w:pPr>
      <w:r>
        <w:t>通过上述两个综合案例，本文展示了以下关键实践要点：</w:t>
      </w:r>
    </w:p>
    <w:p w14:paraId="1BAAF48B" w14:textId="77777777" w:rsidR="004B103D" w:rsidRDefault="00000000">
      <w:pPr>
        <w:spacing w:line="360" w:lineRule="auto"/>
        <w:ind w:firstLine="480"/>
      </w:pPr>
      <w:r>
        <w:t>（</w:t>
      </w:r>
      <w:r>
        <w:t>1</w:t>
      </w:r>
      <w:r>
        <w:t>）工具互补性。</w:t>
      </w:r>
      <w:r>
        <w:t>Matplotlib</w:t>
      </w:r>
      <w:r>
        <w:t>提供了底层的精细控制能力，</w:t>
      </w:r>
      <w:r>
        <w:t>Seaborn</w:t>
      </w:r>
      <w:r>
        <w:t>简化了统计图表的绘制流程，而</w:t>
      </w:r>
      <w:proofErr w:type="spellStart"/>
      <w:r>
        <w:t>Pyecharts</w:t>
      </w:r>
      <w:proofErr w:type="spellEnd"/>
      <w:r>
        <w:t>则拓展了交互式可视化的可能性。在实际项目中，三者往往配合使用：用</w:t>
      </w:r>
      <w:r>
        <w:t>Pandas</w:t>
      </w:r>
      <w:r>
        <w:t>完成数据处理，用</w:t>
      </w:r>
      <w:r>
        <w:t>Seaborn</w:t>
      </w:r>
      <w:r>
        <w:t>快速探索数据模式，用</w:t>
      </w:r>
      <w:r>
        <w:t>Matplotlib</w:t>
      </w:r>
      <w:r>
        <w:t>进行最终的样式微调，必要时引入</w:t>
      </w:r>
      <w:proofErr w:type="spellStart"/>
      <w:r>
        <w:t>Pyecharts</w:t>
      </w:r>
      <w:proofErr w:type="spellEnd"/>
      <w:r>
        <w:t>生成交互式图表。</w:t>
      </w:r>
    </w:p>
    <w:p w14:paraId="087432DE" w14:textId="77777777" w:rsidR="004B103D" w:rsidRDefault="00000000">
      <w:pPr>
        <w:spacing w:line="360" w:lineRule="auto"/>
        <w:ind w:firstLine="480"/>
      </w:pPr>
      <w:r>
        <w:t>（</w:t>
      </w:r>
      <w:r>
        <w:t>2</w:t>
      </w:r>
      <w:r>
        <w:t>）原则指导性。在案例实践中，本文始终遵循第二章提出的设计原则。例如，在柱形图中使用颜色渐变而非随机配色（美观性），使用水平条形图展示城市名称（清晰性），为所有图表添加数据标签或坐标轴单位（准确性），根据分析目标选择恰当的图表类型（有效性）。</w:t>
      </w:r>
    </w:p>
    <w:p w14:paraId="6CD0353A" w14:textId="77777777" w:rsidR="004B103D" w:rsidRDefault="00000000">
      <w:pPr>
        <w:spacing w:line="360" w:lineRule="auto"/>
        <w:ind w:firstLine="480"/>
      </w:pPr>
      <w:r>
        <w:t>（</w:t>
      </w:r>
      <w:r>
        <w:t>3</w:t>
      </w:r>
      <w:r>
        <w:t>）格式规范性。所有图表均遵循广东培正学院毕业论文模板要求：图序号按</w:t>
      </w:r>
      <w:r>
        <w:t>"</w:t>
      </w:r>
      <w:r>
        <w:t>章</w:t>
      </w:r>
      <w:r>
        <w:t>-</w:t>
      </w:r>
      <w:r>
        <w:t>序号</w:t>
      </w:r>
      <w:r>
        <w:t>"</w:t>
      </w:r>
      <w:r>
        <w:t>连续编号，图名居中置于图下方，图与正文之间保持</w:t>
      </w:r>
      <w:proofErr w:type="gramStart"/>
      <w:r>
        <w:t>一</w:t>
      </w:r>
      <w:proofErr w:type="gramEnd"/>
      <w:r>
        <w:t>行间距。</w:t>
      </w:r>
    </w:p>
    <w:p w14:paraId="5A47BFD6" w14:textId="19C99484" w:rsidR="00384A15" w:rsidRDefault="00384A15" w:rsidP="009A651E">
      <w:pPr>
        <w:spacing w:line="360" w:lineRule="auto"/>
      </w:pPr>
    </w:p>
    <w:p w14:paraId="0A96F653" w14:textId="77777777" w:rsidR="004B103D" w:rsidRDefault="00000000">
      <w:pPr>
        <w:pStyle w:val="1"/>
        <w:rPr>
          <w:rFonts w:hint="eastAsia"/>
        </w:rPr>
      </w:pPr>
      <w:bookmarkStart w:id="38" w:name="_Toc233276475"/>
      <w:r>
        <w:t>6　结论与展望</w:t>
      </w:r>
      <w:bookmarkEnd w:id="38"/>
    </w:p>
    <w:p w14:paraId="5C747231" w14:textId="77777777" w:rsidR="004B103D" w:rsidRDefault="00000000">
      <w:pPr>
        <w:pStyle w:val="2"/>
        <w:rPr>
          <w:rFonts w:hint="eastAsia"/>
        </w:rPr>
      </w:pPr>
      <w:bookmarkStart w:id="39" w:name="_Toc233276476"/>
      <w:r>
        <w:lastRenderedPageBreak/>
        <w:t>6.1　研究结论</w:t>
      </w:r>
      <w:bookmarkEnd w:id="39"/>
    </w:p>
    <w:p w14:paraId="7A4DA9CC" w14:textId="77777777" w:rsidR="004B103D" w:rsidRDefault="00000000">
      <w:pPr>
        <w:spacing w:line="360" w:lineRule="auto"/>
        <w:ind w:firstLine="480"/>
      </w:pPr>
      <w:r>
        <w:t>本文围绕</w:t>
      </w:r>
      <w:r>
        <w:t>"</w:t>
      </w:r>
      <w:r>
        <w:t>数据可视化原则与实践</w:t>
      </w:r>
      <w:r>
        <w:t>"</w:t>
      </w:r>
      <w:r>
        <w:t>这一主题，通过理论分析、工具对比和案例实践三个层面，得出以下主要结论：</w:t>
      </w:r>
    </w:p>
    <w:p w14:paraId="1077FBD0" w14:textId="77777777" w:rsidR="004B103D" w:rsidRDefault="00000000">
      <w:pPr>
        <w:spacing w:line="360" w:lineRule="auto"/>
        <w:ind w:firstLine="480"/>
      </w:pPr>
      <w:r>
        <w:t>第一，数据可视化的有效性建立在坚实的认知心理学基础之上。认知负荷理论、格式塔原理和前注意加工理论为可视化设计提供了科学的指导框架，四大设计原则</w:t>
      </w:r>
      <w:r>
        <w:t>——</w:t>
      </w:r>
      <w:r>
        <w:t>准确性、清晰性、有效性、美观性</w:t>
      </w:r>
      <w:r>
        <w:t>——</w:t>
      </w:r>
      <w:r>
        <w:t>构成了可视化质量的系统评价标准。</w:t>
      </w:r>
    </w:p>
    <w:p w14:paraId="6604020C" w14:textId="77777777" w:rsidR="004B103D" w:rsidRDefault="00000000">
      <w:pPr>
        <w:spacing w:line="360" w:lineRule="auto"/>
        <w:ind w:firstLine="480"/>
      </w:pPr>
      <w:r>
        <w:t>第二，</w:t>
      </w:r>
      <w:r>
        <w:t>Python</w:t>
      </w:r>
      <w:r>
        <w:t>三大可视化库各有所长，不存在</w:t>
      </w:r>
      <w:r>
        <w:t>"</w:t>
      </w:r>
      <w:r>
        <w:t>一刀切</w:t>
      </w:r>
      <w:r>
        <w:t>"</w:t>
      </w:r>
      <w:r>
        <w:t>的最优选</w:t>
      </w:r>
      <w:proofErr w:type="gramStart"/>
      <w:r>
        <w:t>择</w:t>
      </w:r>
      <w:proofErr w:type="gramEnd"/>
      <w:r>
        <w:t>。</w:t>
      </w:r>
      <w:r>
        <w:t>Matplotlib</w:t>
      </w:r>
      <w:r>
        <w:t>以无与伦比的灵活性和控制力见长；</w:t>
      </w:r>
      <w:r>
        <w:t>Seaborn</w:t>
      </w:r>
      <w:r>
        <w:t>以简洁的</w:t>
      </w:r>
      <w:r>
        <w:t>API</w:t>
      </w:r>
      <w:r>
        <w:t>和精美的默认样式取胜；</w:t>
      </w:r>
      <w:proofErr w:type="spellStart"/>
      <w:r>
        <w:t>Pyecharts</w:t>
      </w:r>
      <w:proofErr w:type="spellEnd"/>
      <w:r>
        <w:t>以丰富的交互性和多样的图表类型突围。本文提出的三步选型决策框架（见</w:t>
      </w:r>
      <w:r>
        <w:t>3.5</w:t>
      </w:r>
      <w:r>
        <w:t>节）为初学者和从业者提供了明确的选择依据。</w:t>
      </w:r>
    </w:p>
    <w:p w14:paraId="42CF7BFF" w14:textId="77777777" w:rsidR="004B103D" w:rsidRDefault="00000000">
      <w:pPr>
        <w:spacing w:line="360" w:lineRule="auto"/>
        <w:ind w:firstLine="480"/>
      </w:pPr>
      <w:r>
        <w:t>第三，图表类型的选择应综合考虑数据特征和分析目标两个维度。本文建立的</w:t>
      </w:r>
      <w:r>
        <w:t>"</w:t>
      </w:r>
      <w:r>
        <w:t>数据类型</w:t>
      </w:r>
      <w:r>
        <w:t>→</w:t>
      </w:r>
      <w:r>
        <w:t>图表类型</w:t>
      </w:r>
      <w:r>
        <w:t>"</w:t>
      </w:r>
      <w:r>
        <w:t>映射表和</w:t>
      </w:r>
      <w:r>
        <w:t>"</w:t>
      </w:r>
      <w:r>
        <w:t>分析目标</w:t>
      </w:r>
      <w:r>
        <w:t>→</w:t>
      </w:r>
      <w:r>
        <w:t>图表推荐</w:t>
      </w:r>
      <w:r>
        <w:t>"</w:t>
      </w:r>
      <w:r>
        <w:t>矩阵，可以有效降低可视化设计中的选型成本。颜色策略的合理运用同样不可忽视。</w:t>
      </w:r>
    </w:p>
    <w:p w14:paraId="2CD4C639" w14:textId="77777777" w:rsidR="004B103D" w:rsidRDefault="00000000">
      <w:pPr>
        <w:spacing w:line="360" w:lineRule="auto"/>
        <w:ind w:firstLine="480"/>
      </w:pPr>
      <w:r>
        <w:t>第四，通过</w:t>
      </w:r>
      <w:proofErr w:type="gramStart"/>
      <w:r>
        <w:t>星巴克全球门店数据</w:t>
      </w:r>
      <w:proofErr w:type="gramEnd"/>
      <w:r>
        <w:t>和泰坦尼克号数据的综合案例，证实了理论原则对实践的指导价值</w:t>
      </w:r>
      <w:r>
        <w:t>——</w:t>
      </w:r>
      <w:r>
        <w:t>遵循设计原则的可视化作品不仅更加美观，也更能有效地传达数据背后的洞察。</w:t>
      </w:r>
    </w:p>
    <w:p w14:paraId="79C5315A" w14:textId="77777777" w:rsidR="004B103D" w:rsidRDefault="00000000">
      <w:pPr>
        <w:pStyle w:val="2"/>
        <w:rPr>
          <w:rFonts w:hint="eastAsia"/>
        </w:rPr>
      </w:pPr>
      <w:bookmarkStart w:id="40" w:name="_Toc233276477"/>
      <w:r>
        <w:t>6.2　不足与展望</w:t>
      </w:r>
      <w:bookmarkEnd w:id="40"/>
    </w:p>
    <w:p w14:paraId="1D032FD3" w14:textId="77777777" w:rsidR="004B103D" w:rsidRDefault="00000000">
      <w:pPr>
        <w:spacing w:line="360" w:lineRule="auto"/>
        <w:ind w:firstLine="480"/>
      </w:pPr>
      <w:r>
        <w:t>本研究存在以下局限性：一是局限于</w:t>
      </w:r>
      <w:r>
        <w:t>Python</w:t>
      </w:r>
      <w:r>
        <w:t>生态系统，未涉及</w:t>
      </w:r>
      <w:r>
        <w:t>R</w:t>
      </w:r>
      <w:r>
        <w:t>语言的</w:t>
      </w:r>
      <w:r>
        <w:t>ggplot2</w:t>
      </w:r>
      <w:r>
        <w:t>、</w:t>
      </w:r>
      <w:r>
        <w:t>JavaScript</w:t>
      </w:r>
      <w:r>
        <w:t>的</w:t>
      </w:r>
      <w:r>
        <w:t>D3.js</w:t>
      </w:r>
      <w:r>
        <w:t>等其他主流可视化技术</w:t>
      </w:r>
      <w:proofErr w:type="gramStart"/>
      <w:r>
        <w:t>栈</w:t>
      </w:r>
      <w:proofErr w:type="gramEnd"/>
      <w:r>
        <w:t>；二是案例数据以结构化表格数据为主，未涉及时序数据、网络图数据和三维空间数据的可视化；三是交互性图表的评估主要基于功能描述，缺乏用户可用性测试的实证支撑。</w:t>
      </w:r>
    </w:p>
    <w:p w14:paraId="1E4E7B4F" w14:textId="4335AF67" w:rsidR="004B103D" w:rsidRDefault="00000000">
      <w:pPr>
        <w:spacing w:line="360" w:lineRule="auto"/>
        <w:ind w:firstLine="480"/>
      </w:pPr>
      <w:r>
        <w:t>未来的研究可从以下方向深入：（</w:t>
      </w:r>
      <w:r>
        <w:t>1</w:t>
      </w:r>
      <w:r>
        <w:t>）引入眼动追踪实验，定量评估不同图表设计原则对信息获取效率的实际影响；（</w:t>
      </w:r>
      <w:r>
        <w:t>2</w:t>
      </w:r>
      <w:r>
        <w:t>）拓展到大数据场景下的可视化性能优化，探索百万级以上数据点的渲染策略；（</w:t>
      </w:r>
      <w:r>
        <w:t>3</w:t>
      </w:r>
      <w:r>
        <w:t>）结合大语言模型（</w:t>
      </w:r>
      <w:r>
        <w:t>LLM</w:t>
      </w:r>
      <w:r>
        <w:t>）技术，研究自然语言驱动的自动化可视化生成，降低数据可视化的技术门槛</w:t>
      </w:r>
      <w:r w:rsidR="00460A9F" w:rsidRPr="00460A9F">
        <w:rPr>
          <w:rFonts w:hint="eastAsia"/>
          <w:vertAlign w:val="superscript"/>
        </w:rPr>
        <w:fldChar w:fldCharType="begin"/>
      </w:r>
      <w:r w:rsidR="00460A9F" w:rsidRPr="00460A9F">
        <w:rPr>
          <w:rFonts w:hint="eastAsia"/>
          <w:vertAlign w:val="superscript"/>
        </w:rPr>
        <w:instrText xml:space="preserve"> </w:instrText>
      </w:r>
      <w:r w:rsidR="00460A9F" w:rsidRPr="00460A9F">
        <w:rPr>
          <w:vertAlign w:val="superscript"/>
        </w:rPr>
        <w:instrText>REF _Ref233277917 \r \h</w:instrText>
      </w:r>
      <w:r w:rsidR="00460A9F" w:rsidRPr="00460A9F">
        <w:rPr>
          <w:rFonts w:hint="eastAsia"/>
          <w:vertAlign w:val="superscript"/>
        </w:rPr>
        <w:instrText xml:space="preserve"> </w:instrText>
      </w:r>
      <w:r w:rsidR="00460A9F">
        <w:rPr>
          <w:rFonts w:hint="eastAsia"/>
          <w:vertAlign w:val="superscript"/>
        </w:rPr>
        <w:instrText xml:space="preserve"> \* MERGEFORMAT </w:instrText>
      </w:r>
      <w:r w:rsidR="00460A9F" w:rsidRPr="00460A9F">
        <w:rPr>
          <w:rFonts w:hint="eastAsia"/>
          <w:vertAlign w:val="superscript"/>
        </w:rPr>
      </w:r>
      <w:r w:rsidR="00460A9F" w:rsidRPr="00460A9F">
        <w:rPr>
          <w:rFonts w:hint="eastAsia"/>
          <w:vertAlign w:val="superscript"/>
        </w:rPr>
        <w:fldChar w:fldCharType="separate"/>
      </w:r>
      <w:r w:rsidR="00460A9F" w:rsidRPr="00460A9F">
        <w:rPr>
          <w:rFonts w:hint="eastAsia"/>
          <w:vertAlign w:val="superscript"/>
        </w:rPr>
        <w:t>[6]</w:t>
      </w:r>
      <w:r w:rsidR="00460A9F" w:rsidRPr="00460A9F">
        <w:rPr>
          <w:rFonts w:hint="eastAsia"/>
          <w:vertAlign w:val="superscript"/>
        </w:rPr>
        <w:fldChar w:fldCharType="end"/>
      </w:r>
      <w:r>
        <w:t>。</w:t>
      </w:r>
    </w:p>
    <w:p w14:paraId="1C14C06C" w14:textId="445A3DBC" w:rsidR="004B103D" w:rsidRDefault="00000000" w:rsidP="00384A15">
      <w:r>
        <w:br w:type="page"/>
      </w:r>
      <w:r>
        <w:rPr>
          <w:rFonts w:ascii="黑体" w:eastAsia="黑体" w:hAnsi="黑体" w:cs="黑体"/>
          <w:b/>
          <w:bCs/>
          <w:sz w:val="21"/>
          <w:szCs w:val="21"/>
        </w:rPr>
        <w:lastRenderedPageBreak/>
        <w:t>参考文献</w:t>
      </w:r>
    </w:p>
    <w:p w14:paraId="5F9E2ADC" w14:textId="5EE288C3" w:rsidR="004B103D" w:rsidRDefault="00000000" w:rsidP="001F0891">
      <w:pPr>
        <w:pStyle w:val="a"/>
      </w:pPr>
      <w:bookmarkStart w:id="41" w:name="_Ref233277732"/>
      <w:r>
        <w:t>陈为</w:t>
      </w:r>
      <w:r>
        <w:t xml:space="preserve">, </w:t>
      </w:r>
      <w:r>
        <w:t>沈则潜</w:t>
      </w:r>
      <w:r>
        <w:t xml:space="preserve">, </w:t>
      </w:r>
      <w:r>
        <w:t>陶煜波</w:t>
      </w:r>
      <w:r>
        <w:t xml:space="preserve">. </w:t>
      </w:r>
      <w:r>
        <w:t>数据可视化</w:t>
      </w:r>
      <w:r>
        <w:t xml:space="preserve">[M]. </w:t>
      </w:r>
      <w:r>
        <w:t>第</w:t>
      </w:r>
      <w:r>
        <w:t>2</w:t>
      </w:r>
      <w:r>
        <w:t>版</w:t>
      </w:r>
      <w:r>
        <w:t xml:space="preserve">. </w:t>
      </w:r>
      <w:r>
        <w:t>北京</w:t>
      </w:r>
      <w:r>
        <w:t xml:space="preserve">: </w:t>
      </w:r>
      <w:r>
        <w:t>电子工业出版社</w:t>
      </w:r>
      <w:r>
        <w:t>, 2019.</w:t>
      </w:r>
      <w:bookmarkEnd w:id="41"/>
    </w:p>
    <w:p w14:paraId="51DF2CDC" w14:textId="0E538AAA" w:rsidR="004B103D" w:rsidRDefault="00000000" w:rsidP="001F0891">
      <w:pPr>
        <w:pStyle w:val="a"/>
      </w:pPr>
      <w:bookmarkStart w:id="42" w:name="_Ref233277827"/>
      <w:r>
        <w:t>黄晨曦</w:t>
      </w:r>
      <w:r>
        <w:t xml:space="preserve">. </w:t>
      </w:r>
      <w:r>
        <w:t>基于用户认知理论的信息可视化任务效率评估与设计应用研究</w:t>
      </w:r>
      <w:r>
        <w:t xml:space="preserve">[D]. </w:t>
      </w:r>
      <w:r>
        <w:t>广州</w:t>
      </w:r>
      <w:r>
        <w:t xml:space="preserve">: </w:t>
      </w:r>
      <w:r>
        <w:t>华南理工大学</w:t>
      </w:r>
      <w:r>
        <w:t>, 2023.</w:t>
      </w:r>
      <w:bookmarkEnd w:id="42"/>
    </w:p>
    <w:p w14:paraId="79C8E62F" w14:textId="28639D36" w:rsidR="004B103D" w:rsidRDefault="00000000" w:rsidP="001F0891">
      <w:pPr>
        <w:pStyle w:val="a"/>
      </w:pPr>
      <w:bookmarkStart w:id="43" w:name="_Ref233277849"/>
      <w:r>
        <w:t>范路桥</w:t>
      </w:r>
      <w:r>
        <w:t xml:space="preserve">, </w:t>
      </w:r>
      <w:r>
        <w:t>高洁</w:t>
      </w:r>
      <w:r>
        <w:t xml:space="preserve">, </w:t>
      </w:r>
      <w:r>
        <w:t>段班祥</w:t>
      </w:r>
      <w:r>
        <w:t xml:space="preserve">. </w:t>
      </w:r>
      <w:r>
        <w:t>基于</w:t>
      </w:r>
      <w:proofErr w:type="spellStart"/>
      <w:r>
        <w:t>Python+Flask+ECharts</w:t>
      </w:r>
      <w:proofErr w:type="spellEnd"/>
      <w:r>
        <w:t>的国内热门旅游景点数据可视化系统</w:t>
      </w:r>
      <w:r>
        <w:t xml:space="preserve">[J]. </w:t>
      </w:r>
      <w:r>
        <w:t>现代电子技术</w:t>
      </w:r>
      <w:r>
        <w:t>, 2023, 46(9): 126-130.</w:t>
      </w:r>
      <w:bookmarkEnd w:id="43"/>
    </w:p>
    <w:p w14:paraId="2B33995A" w14:textId="25FBB48E" w:rsidR="004B103D" w:rsidRDefault="00000000" w:rsidP="001F0891">
      <w:pPr>
        <w:pStyle w:val="a"/>
      </w:pPr>
      <w:bookmarkStart w:id="44" w:name="_Ref233277861"/>
      <w:r>
        <w:t>蔡文乐</w:t>
      </w:r>
      <w:r>
        <w:t xml:space="preserve">, </w:t>
      </w:r>
      <w:r>
        <w:t>秦立静</w:t>
      </w:r>
      <w:r>
        <w:t xml:space="preserve">. </w:t>
      </w:r>
      <w:r>
        <w:t>基于</w:t>
      </w:r>
      <w:r>
        <w:t>Python</w:t>
      </w:r>
      <w:r>
        <w:t>爬虫的招聘数据可视化分析</w:t>
      </w:r>
      <w:r>
        <w:t xml:space="preserve">[J]. </w:t>
      </w:r>
      <w:r>
        <w:t>物联网技术</w:t>
      </w:r>
      <w:r>
        <w:t>, 2024, 14(1): 102-105.</w:t>
      </w:r>
      <w:bookmarkEnd w:id="44"/>
    </w:p>
    <w:p w14:paraId="758EEA55" w14:textId="46534D33" w:rsidR="004B103D" w:rsidRDefault="00000000" w:rsidP="001F0891">
      <w:pPr>
        <w:pStyle w:val="a"/>
      </w:pPr>
      <w:bookmarkStart w:id="45" w:name="_Ref233277903"/>
      <w:proofErr w:type="gramStart"/>
      <w:r>
        <w:t>陈思楠</w:t>
      </w:r>
      <w:proofErr w:type="gramEnd"/>
      <w:r>
        <w:t xml:space="preserve">, </w:t>
      </w:r>
      <w:r>
        <w:t>陈吉平</w:t>
      </w:r>
      <w:r>
        <w:t xml:space="preserve">, </w:t>
      </w:r>
      <w:r>
        <w:t>黄红倩</w:t>
      </w:r>
      <w:r>
        <w:t xml:space="preserve">, </w:t>
      </w:r>
      <w:r>
        <w:t>等</w:t>
      </w:r>
      <w:r>
        <w:t xml:space="preserve">. </w:t>
      </w:r>
      <w:r>
        <w:t>基于</w:t>
      </w:r>
      <w:proofErr w:type="spellStart"/>
      <w:r>
        <w:t>ECharts</w:t>
      </w:r>
      <w:proofErr w:type="spellEnd"/>
      <w:r>
        <w:t>的医疗数据交互式可视化研究</w:t>
      </w:r>
      <w:r>
        <w:t xml:space="preserve">[J]. </w:t>
      </w:r>
      <w:r>
        <w:t>现代信息科技</w:t>
      </w:r>
      <w:r>
        <w:t>, 2024, 8(14): 76-80.</w:t>
      </w:r>
      <w:bookmarkEnd w:id="45"/>
    </w:p>
    <w:p w14:paraId="06C0BA84" w14:textId="19922A8A" w:rsidR="004B103D" w:rsidRDefault="00000000" w:rsidP="001F0891">
      <w:pPr>
        <w:pStyle w:val="a"/>
      </w:pPr>
      <w:bookmarkStart w:id="46" w:name="_Ref233277917"/>
      <w:r>
        <w:t>骆昱宇</w:t>
      </w:r>
      <w:r>
        <w:t xml:space="preserve">, </w:t>
      </w:r>
      <w:r>
        <w:t>秦雪迪</w:t>
      </w:r>
      <w:r>
        <w:t xml:space="preserve">, </w:t>
      </w:r>
      <w:proofErr w:type="gramStart"/>
      <w:r>
        <w:t>谢宇鹏</w:t>
      </w:r>
      <w:proofErr w:type="gramEnd"/>
      <w:r>
        <w:t xml:space="preserve">, </w:t>
      </w:r>
      <w:r>
        <w:t>等</w:t>
      </w:r>
      <w:r>
        <w:t xml:space="preserve">. </w:t>
      </w:r>
      <w:r>
        <w:t>智能数据可视分析技术综述</w:t>
      </w:r>
      <w:r>
        <w:t xml:space="preserve">[J]. </w:t>
      </w:r>
      <w:r>
        <w:t>软件学报</w:t>
      </w:r>
      <w:r>
        <w:t>, 2024, 35(1): 356-404.</w:t>
      </w:r>
      <w:bookmarkEnd w:id="46"/>
    </w:p>
    <w:p w14:paraId="2AC00257" w14:textId="78BC1C5A" w:rsidR="004B103D" w:rsidRDefault="00000000" w:rsidP="001F0891">
      <w:pPr>
        <w:pStyle w:val="a"/>
      </w:pPr>
      <w:bookmarkStart w:id="47" w:name="_Ref233277931"/>
      <w:r>
        <w:t>康敏</w:t>
      </w:r>
      <w:r>
        <w:t xml:space="preserve">, </w:t>
      </w:r>
      <w:proofErr w:type="gramStart"/>
      <w:r>
        <w:t>吴聪丽</w:t>
      </w:r>
      <w:proofErr w:type="gramEnd"/>
      <w:r>
        <w:t xml:space="preserve">, </w:t>
      </w:r>
      <w:r>
        <w:t>吴本清</w:t>
      </w:r>
      <w:r>
        <w:t xml:space="preserve">, </w:t>
      </w:r>
      <w:r>
        <w:t>等</w:t>
      </w:r>
      <w:r>
        <w:t xml:space="preserve">. </w:t>
      </w:r>
      <w:r>
        <w:t>大数据时代医院统计信息数据分析中的研究热点与可视化分析</w:t>
      </w:r>
      <w:r>
        <w:t xml:space="preserve">[J]. </w:t>
      </w:r>
      <w:r>
        <w:t>中国卫生统计</w:t>
      </w:r>
      <w:r>
        <w:t>, 2023, 40(2): 219-223.</w:t>
      </w:r>
      <w:bookmarkEnd w:id="47"/>
    </w:p>
    <w:p w14:paraId="232699C6" w14:textId="61D984AB" w:rsidR="004B103D" w:rsidRDefault="00000000" w:rsidP="001F0891">
      <w:pPr>
        <w:pStyle w:val="a"/>
      </w:pPr>
      <w:r>
        <w:t>张可超</w:t>
      </w:r>
      <w:r>
        <w:t xml:space="preserve">, </w:t>
      </w:r>
      <w:r>
        <w:t>蒋升跃</w:t>
      </w:r>
      <w:r>
        <w:t xml:space="preserve">, </w:t>
      </w:r>
      <w:r>
        <w:t>肖婧</w:t>
      </w:r>
      <w:r>
        <w:t xml:space="preserve">. </w:t>
      </w:r>
      <w:proofErr w:type="spellStart"/>
      <w:r>
        <w:t>SFFSlib</w:t>
      </w:r>
      <w:proofErr w:type="spellEnd"/>
      <w:r>
        <w:t>: A Python library for optimizing attribute layouts from micro to macro scales in network visualization[J]. Chinese Physics B, 2025, 34(5): 127-142.</w:t>
      </w:r>
    </w:p>
    <w:p w14:paraId="1AE6166D" w14:textId="624BA92E" w:rsidR="004B103D" w:rsidRDefault="00000000" w:rsidP="001F0891">
      <w:pPr>
        <w:pStyle w:val="a"/>
      </w:pPr>
      <w:bookmarkStart w:id="48" w:name="_Ref233277958"/>
      <w:r>
        <w:t>张丽莉</w:t>
      </w:r>
      <w:r>
        <w:t xml:space="preserve">. </w:t>
      </w:r>
      <w:r>
        <w:t>色彩与信息可视化设计法则的融合</w:t>
      </w:r>
      <w:r>
        <w:t xml:space="preserve">: </w:t>
      </w:r>
      <w:r>
        <w:t>大数据呈现的新视角</w:t>
      </w:r>
      <w:r>
        <w:t xml:space="preserve">[J]. </w:t>
      </w:r>
      <w:r>
        <w:t>色彩</w:t>
      </w:r>
      <w:r>
        <w:t>, 2025, (5): 79-81.</w:t>
      </w:r>
      <w:bookmarkEnd w:id="48"/>
    </w:p>
    <w:p w14:paraId="07F710BE" w14:textId="737C3E67" w:rsidR="004B103D" w:rsidRDefault="00000000" w:rsidP="001F0891">
      <w:pPr>
        <w:pStyle w:val="a"/>
      </w:pPr>
      <w:bookmarkStart w:id="49" w:name="_Ref233277980"/>
      <w:proofErr w:type="gramStart"/>
      <w:r>
        <w:t>杜鹤民</w:t>
      </w:r>
      <w:proofErr w:type="gramEnd"/>
      <w:r>
        <w:t xml:space="preserve">, </w:t>
      </w:r>
      <w:r>
        <w:t>蒋俊杰</w:t>
      </w:r>
      <w:r>
        <w:t xml:space="preserve">. </w:t>
      </w:r>
      <w:r>
        <w:t>认知思维与视觉思维下的信息可视化设计</w:t>
      </w:r>
      <w:r>
        <w:t xml:space="preserve">[J]. </w:t>
      </w:r>
      <w:r>
        <w:t>包装工程</w:t>
      </w:r>
      <w:r>
        <w:t>, 2022, 43(8): 217-224.</w:t>
      </w:r>
      <w:bookmarkEnd w:id="49"/>
    </w:p>
    <w:p w14:paraId="2C4A04E5" w14:textId="5E3F4949" w:rsidR="004B103D" w:rsidRDefault="00000000" w:rsidP="001F0891">
      <w:pPr>
        <w:pStyle w:val="a"/>
      </w:pPr>
      <w:r>
        <w:t>邢勇杰</w:t>
      </w:r>
      <w:r>
        <w:t xml:space="preserve">. </w:t>
      </w:r>
      <w:r>
        <w:t>面向乒乓球体育赛事的数据可视化设计</w:t>
      </w:r>
      <w:r>
        <w:t xml:space="preserve">[D]. </w:t>
      </w:r>
      <w:r>
        <w:t>无锡</w:t>
      </w:r>
      <w:r>
        <w:t xml:space="preserve">: </w:t>
      </w:r>
      <w:r>
        <w:t>江南大学</w:t>
      </w:r>
      <w:r>
        <w:t>, 2023.</w:t>
      </w:r>
    </w:p>
    <w:p w14:paraId="5C0B2EAD" w14:textId="50D63DC8" w:rsidR="004B103D" w:rsidRDefault="00000000" w:rsidP="001D597D">
      <w:pPr>
        <w:pStyle w:val="a"/>
        <w:rPr>
          <w:rFonts w:hint="eastAsia"/>
        </w:rPr>
      </w:pPr>
      <w:bookmarkStart w:id="50" w:name="_Ref233278019"/>
      <w:r>
        <w:t>吴小溪</w:t>
      </w:r>
      <w:r>
        <w:t xml:space="preserve">, </w:t>
      </w:r>
      <w:r>
        <w:t>姜在新</w:t>
      </w:r>
      <w:r>
        <w:t xml:space="preserve">. </w:t>
      </w:r>
      <w:r>
        <w:t>格式塔心理学视知觉原理在信息可视化设计中的应用研究</w:t>
      </w:r>
      <w:r>
        <w:t xml:space="preserve">[J]. </w:t>
      </w:r>
      <w:r>
        <w:t>玩具世界</w:t>
      </w:r>
      <w:r>
        <w:t>, 2024, (9): 138-140.</w:t>
      </w:r>
      <w:bookmarkEnd w:id="50"/>
    </w:p>
    <w:sectPr w:rsidR="004B103D">
      <w:headerReference w:type="default" r:id="rId18"/>
      <w:footerReference w:type="default" r:id="rId19"/>
      <w:pgSz w:w="11906" w:h="16838"/>
      <w:pgMar w:top="1440" w:right="180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FB16F" w14:textId="77777777" w:rsidR="00E00B1A" w:rsidRDefault="00E00B1A">
      <w:r>
        <w:separator/>
      </w:r>
    </w:p>
  </w:endnote>
  <w:endnote w:type="continuationSeparator" w:id="0">
    <w:p w14:paraId="2CBFD737" w14:textId="77777777" w:rsidR="00E00B1A" w:rsidRDefault="00E00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charset w:val="86"/>
    <w:family w:val="modern"/>
    <w:pitch w:val="fixed"/>
    <w:sig w:usb0="00000001" w:usb1="080E0000" w:usb2="00000010" w:usb3="00000000" w:csb0="00040000" w:csb1="00000000"/>
  </w:font>
  <w:font w:name="公文小标宋简">
    <w:altName w:val="宋体"/>
    <w:charset w:val="86"/>
    <w:family w:val="modern"/>
    <w:pitch w:val="default"/>
    <w:sig w:usb0="00000000" w:usb1="00000000" w:usb2="00000010" w:usb3="00000000" w:csb0="00040000"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楷体_GB2312">
    <w:altName w:val="宋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606ED" w14:textId="77777777" w:rsidR="004B103D" w:rsidRDefault="00000000">
    <w:pPr>
      <w:jc w:val="center"/>
    </w:pPr>
    <w:r>
      <w:rPr>
        <w:rFonts w:eastAsia="Times New Roman" w:cs="Times New Roman"/>
        <w:sz w:val="18"/>
        <w:szCs w:val="18"/>
      </w:rPr>
      <w:fldChar w:fldCharType="begin"/>
    </w:r>
    <w:r>
      <w:rPr>
        <w:rFonts w:eastAsia="Times New Roman" w:cs="Times New Roman"/>
        <w:sz w:val="18"/>
        <w:szCs w:val="18"/>
      </w:rPr>
      <w:instrText>PAGE</w:instrText>
    </w:r>
    <w:r>
      <w:rPr>
        <w:rFonts w:eastAsia="Times New Roman" w:cs="Times New Roman"/>
        <w:sz w:val="18"/>
        <w:szCs w:val="18"/>
      </w:rPr>
      <w:fldChar w:fldCharType="separate"/>
    </w:r>
    <w:r w:rsidR="00342586">
      <w:rPr>
        <w:rFonts w:eastAsia="Times New Roman" w:cs="Times New Roman"/>
        <w:noProof/>
        <w:sz w:val="18"/>
        <w:szCs w:val="18"/>
      </w:rPr>
      <w:t>1</w:t>
    </w:r>
    <w:r>
      <w:rPr>
        <w:rFonts w:eastAsia="Times New Roman"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FA610" w14:textId="77777777" w:rsidR="00E00B1A" w:rsidRDefault="00E00B1A">
      <w:r>
        <w:separator/>
      </w:r>
    </w:p>
  </w:footnote>
  <w:footnote w:type="continuationSeparator" w:id="0">
    <w:p w14:paraId="74B5A88F" w14:textId="77777777" w:rsidR="00E00B1A" w:rsidRDefault="00E00B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AF851" w14:textId="77777777" w:rsidR="00342586"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F014D"/>
    <w:multiLevelType w:val="hybridMultilevel"/>
    <w:tmpl w:val="06C61F76"/>
    <w:lvl w:ilvl="0" w:tplc="32F8AC4C">
      <w:start w:val="1"/>
      <w:numFmt w:val="bullet"/>
      <w:lvlText w:val="●"/>
      <w:lvlJc w:val="left"/>
      <w:pPr>
        <w:ind w:left="720" w:hanging="360"/>
      </w:pPr>
    </w:lvl>
    <w:lvl w:ilvl="1" w:tplc="51545CC8">
      <w:start w:val="1"/>
      <w:numFmt w:val="bullet"/>
      <w:lvlText w:val="○"/>
      <w:lvlJc w:val="left"/>
      <w:pPr>
        <w:ind w:left="1440" w:hanging="360"/>
      </w:pPr>
    </w:lvl>
    <w:lvl w:ilvl="2" w:tplc="E0663C76">
      <w:start w:val="1"/>
      <w:numFmt w:val="bullet"/>
      <w:lvlText w:val="■"/>
      <w:lvlJc w:val="left"/>
      <w:pPr>
        <w:ind w:left="2160" w:hanging="360"/>
      </w:pPr>
    </w:lvl>
    <w:lvl w:ilvl="3" w:tplc="FD08E8C4">
      <w:start w:val="1"/>
      <w:numFmt w:val="bullet"/>
      <w:lvlText w:val="●"/>
      <w:lvlJc w:val="left"/>
      <w:pPr>
        <w:ind w:left="2880" w:hanging="360"/>
      </w:pPr>
    </w:lvl>
    <w:lvl w:ilvl="4" w:tplc="4B16F9A4">
      <w:start w:val="1"/>
      <w:numFmt w:val="bullet"/>
      <w:lvlText w:val="○"/>
      <w:lvlJc w:val="left"/>
      <w:pPr>
        <w:ind w:left="3600" w:hanging="360"/>
      </w:pPr>
    </w:lvl>
    <w:lvl w:ilvl="5" w:tplc="BDA04C88">
      <w:start w:val="1"/>
      <w:numFmt w:val="bullet"/>
      <w:lvlText w:val="■"/>
      <w:lvlJc w:val="left"/>
      <w:pPr>
        <w:ind w:left="4320" w:hanging="360"/>
      </w:pPr>
    </w:lvl>
    <w:lvl w:ilvl="6" w:tplc="55C60652">
      <w:start w:val="1"/>
      <w:numFmt w:val="bullet"/>
      <w:lvlText w:val="●"/>
      <w:lvlJc w:val="left"/>
      <w:pPr>
        <w:ind w:left="5040" w:hanging="360"/>
      </w:pPr>
    </w:lvl>
    <w:lvl w:ilvl="7" w:tplc="D4E8707E">
      <w:start w:val="1"/>
      <w:numFmt w:val="bullet"/>
      <w:lvlText w:val="●"/>
      <w:lvlJc w:val="left"/>
      <w:pPr>
        <w:ind w:left="5760" w:hanging="360"/>
      </w:pPr>
    </w:lvl>
    <w:lvl w:ilvl="8" w:tplc="05447F76">
      <w:start w:val="1"/>
      <w:numFmt w:val="bullet"/>
      <w:lvlText w:val="●"/>
      <w:lvlJc w:val="left"/>
      <w:pPr>
        <w:ind w:left="6480" w:hanging="360"/>
      </w:pPr>
    </w:lvl>
  </w:abstractNum>
  <w:abstractNum w:abstractNumId="1" w15:restartNumberingAfterBreak="0">
    <w:nsid w:val="228B7617"/>
    <w:multiLevelType w:val="hybridMultilevel"/>
    <w:tmpl w:val="F93C215A"/>
    <w:lvl w:ilvl="0" w:tplc="FCF6FDF0">
      <w:start w:val="1"/>
      <w:numFmt w:val="decimal"/>
      <w:pStyle w:val="a"/>
      <w:lvlText w:val="[%1]"/>
      <w:lvlJc w:val="left"/>
      <w:pPr>
        <w:ind w:left="440" w:hanging="440"/>
      </w:pPr>
      <w:rPr>
        <w:rFonts w:ascii="Times New Roman" w:eastAsia="宋体" w:hAnsi="Times New Roman" w:hint="default"/>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32792568">
    <w:abstractNumId w:val="0"/>
    <w:lvlOverride w:ilvl="0">
      <w:startOverride w:val="1"/>
    </w:lvlOverride>
  </w:num>
  <w:num w:numId="2" w16cid:durableId="2113358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03D"/>
    <w:rsid w:val="00026731"/>
    <w:rsid w:val="00056A66"/>
    <w:rsid w:val="00086A08"/>
    <w:rsid w:val="00086A6D"/>
    <w:rsid w:val="000A32FC"/>
    <w:rsid w:val="000E1153"/>
    <w:rsid w:val="00143DA6"/>
    <w:rsid w:val="00185FAA"/>
    <w:rsid w:val="00195FC4"/>
    <w:rsid w:val="001D597D"/>
    <w:rsid w:val="001F0891"/>
    <w:rsid w:val="00217F1C"/>
    <w:rsid w:val="00276B6C"/>
    <w:rsid w:val="00290BED"/>
    <w:rsid w:val="00327D26"/>
    <w:rsid w:val="00342586"/>
    <w:rsid w:val="00384A15"/>
    <w:rsid w:val="00433C95"/>
    <w:rsid w:val="00446E08"/>
    <w:rsid w:val="00460A9F"/>
    <w:rsid w:val="004B103D"/>
    <w:rsid w:val="004B26B3"/>
    <w:rsid w:val="00510D7C"/>
    <w:rsid w:val="00645492"/>
    <w:rsid w:val="00704B80"/>
    <w:rsid w:val="007539B4"/>
    <w:rsid w:val="007A4812"/>
    <w:rsid w:val="007B5F46"/>
    <w:rsid w:val="00831F0E"/>
    <w:rsid w:val="009A1D23"/>
    <w:rsid w:val="009A651E"/>
    <w:rsid w:val="00A124F5"/>
    <w:rsid w:val="00A12A88"/>
    <w:rsid w:val="00A90EFA"/>
    <w:rsid w:val="00A97272"/>
    <w:rsid w:val="00AA5D6E"/>
    <w:rsid w:val="00B409CF"/>
    <w:rsid w:val="00B5520A"/>
    <w:rsid w:val="00BB5647"/>
    <w:rsid w:val="00C00239"/>
    <w:rsid w:val="00C24CC4"/>
    <w:rsid w:val="00C82F01"/>
    <w:rsid w:val="00CB6ECE"/>
    <w:rsid w:val="00D3655F"/>
    <w:rsid w:val="00DC331F"/>
    <w:rsid w:val="00E00B1A"/>
    <w:rsid w:val="00E1421C"/>
    <w:rsid w:val="00E5119F"/>
    <w:rsid w:val="00E62400"/>
    <w:rsid w:val="00E67EA1"/>
    <w:rsid w:val="00EC4BAC"/>
    <w:rsid w:val="00EC55E1"/>
    <w:rsid w:val="00EE60D8"/>
    <w:rsid w:val="00FF01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B45D9"/>
  <w15:docId w15:val="{802135E0-4FE1-4D3F-9E0C-6CAC5BD38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A651E"/>
    <w:pPr>
      <w:widowControl w:val="0"/>
    </w:pPr>
    <w:rPr>
      <w:rFonts w:ascii="Times New Roman" w:hAnsi="Times New Roman"/>
    </w:rPr>
  </w:style>
  <w:style w:type="paragraph" w:styleId="1">
    <w:name w:val="heading 1"/>
    <w:uiPriority w:val="9"/>
    <w:qFormat/>
    <w:pPr>
      <w:spacing w:line="360" w:lineRule="auto"/>
      <w:outlineLvl w:val="0"/>
    </w:pPr>
    <w:rPr>
      <w:rFonts w:ascii="黑体" w:eastAsia="黑体" w:hAnsi="黑体" w:cs="黑体"/>
      <w:b/>
      <w:bCs/>
      <w:sz w:val="28"/>
      <w:szCs w:val="28"/>
    </w:rPr>
  </w:style>
  <w:style w:type="paragraph" w:styleId="2">
    <w:name w:val="heading 2"/>
    <w:uiPriority w:val="9"/>
    <w:unhideWhenUsed/>
    <w:qFormat/>
    <w:pPr>
      <w:spacing w:line="360" w:lineRule="auto"/>
      <w:outlineLvl w:val="1"/>
    </w:pPr>
    <w:rPr>
      <w:rFonts w:ascii="黑体" w:eastAsia="黑体" w:hAnsi="黑体" w:cs="黑体"/>
      <w:b/>
      <w:bCs/>
    </w:rPr>
  </w:style>
  <w:style w:type="paragraph" w:styleId="3">
    <w:name w:val="heading 3"/>
    <w:uiPriority w:val="9"/>
    <w:unhideWhenUsed/>
    <w:qFormat/>
    <w:pPr>
      <w:spacing w:line="360" w:lineRule="auto"/>
      <w:outlineLvl w:val="2"/>
    </w:pPr>
    <w:rPr>
      <w:rFonts w:ascii="黑体" w:eastAsia="黑体" w:hAnsi="黑体" w:cs="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uiPriority w:val="10"/>
    <w:qFormat/>
    <w:rPr>
      <w:sz w:val="56"/>
      <w:szCs w:val="56"/>
    </w:rPr>
  </w:style>
  <w:style w:type="paragraph" w:customStyle="1" w:styleId="10">
    <w:name w:val="要点1"/>
    <w:qFormat/>
    <w:rPr>
      <w:b/>
      <w:bCs/>
    </w:rPr>
  </w:style>
  <w:style w:type="paragraph" w:styleId="a5">
    <w:name w:val="List Paragraph"/>
    <w:qFormat/>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rPr>
      <w:sz w:val="20"/>
      <w:szCs w:val="20"/>
    </w:rPr>
  </w:style>
  <w:style w:type="character" w:customStyle="1" w:styleId="a9">
    <w:name w:val="脚注文本 字符"/>
    <w:link w:val="a8"/>
    <w:uiPriority w:val="99"/>
    <w:semiHidden/>
    <w:unhideWhenUsed/>
    <w:rPr>
      <w:sz w:val="20"/>
      <w:szCs w:val="20"/>
    </w:rPr>
  </w:style>
  <w:style w:type="character" w:styleId="aa">
    <w:name w:val="endnote reference"/>
    <w:uiPriority w:val="99"/>
    <w:semiHidden/>
    <w:unhideWhenUsed/>
    <w:rPr>
      <w:vertAlign w:val="superscript"/>
    </w:rPr>
  </w:style>
  <w:style w:type="paragraph" w:styleId="ab">
    <w:name w:val="endnote text"/>
    <w:link w:val="ac"/>
    <w:uiPriority w:val="99"/>
    <w:semiHidden/>
    <w:unhideWhenUsed/>
    <w:rPr>
      <w:sz w:val="20"/>
      <w:szCs w:val="20"/>
    </w:rPr>
  </w:style>
  <w:style w:type="character" w:customStyle="1" w:styleId="ac">
    <w:name w:val="尾注文本 字符"/>
    <w:link w:val="ab"/>
    <w:uiPriority w:val="99"/>
    <w:semiHidden/>
    <w:unhideWhenUsed/>
    <w:rPr>
      <w:sz w:val="20"/>
      <w:szCs w:val="20"/>
    </w:rPr>
  </w:style>
  <w:style w:type="paragraph" w:styleId="ad">
    <w:name w:val="annotation text"/>
    <w:basedOn w:val="a0"/>
    <w:link w:val="ae"/>
    <w:uiPriority w:val="99"/>
    <w:unhideWhenUsed/>
  </w:style>
  <w:style w:type="character" w:customStyle="1" w:styleId="ae">
    <w:name w:val="批注文字 字符"/>
    <w:basedOn w:val="a1"/>
    <w:link w:val="ad"/>
    <w:uiPriority w:val="99"/>
    <w:semiHidden/>
  </w:style>
  <w:style w:type="character" w:styleId="af">
    <w:name w:val="annotation reference"/>
    <w:basedOn w:val="a1"/>
    <w:uiPriority w:val="99"/>
    <w:semiHidden/>
    <w:unhideWhenUsed/>
    <w:rPr>
      <w:sz w:val="21"/>
      <w:szCs w:val="21"/>
    </w:rPr>
  </w:style>
  <w:style w:type="paragraph" w:styleId="TOC1">
    <w:name w:val="toc 1"/>
    <w:basedOn w:val="a0"/>
    <w:next w:val="a0"/>
    <w:autoRedefine/>
    <w:uiPriority w:val="39"/>
    <w:unhideWhenUsed/>
    <w:rsid w:val="00AA5D6E"/>
    <w:pPr>
      <w:tabs>
        <w:tab w:val="right" w:leader="dot" w:pos="8296"/>
      </w:tabs>
      <w:spacing w:line="360" w:lineRule="auto"/>
    </w:pPr>
    <w:rPr>
      <w:noProof/>
      <w:sz w:val="28"/>
      <w:szCs w:val="28"/>
    </w:rPr>
  </w:style>
  <w:style w:type="paragraph" w:styleId="TOC2">
    <w:name w:val="toc 2"/>
    <w:basedOn w:val="a0"/>
    <w:next w:val="a0"/>
    <w:autoRedefine/>
    <w:uiPriority w:val="39"/>
    <w:unhideWhenUsed/>
    <w:rsid w:val="00342586"/>
    <w:pPr>
      <w:ind w:leftChars="200" w:left="420"/>
    </w:pPr>
  </w:style>
  <w:style w:type="paragraph" w:styleId="TOC3">
    <w:name w:val="toc 3"/>
    <w:basedOn w:val="a0"/>
    <w:next w:val="a0"/>
    <w:autoRedefine/>
    <w:uiPriority w:val="39"/>
    <w:unhideWhenUsed/>
    <w:rsid w:val="00342586"/>
    <w:pPr>
      <w:ind w:leftChars="400" w:left="840"/>
    </w:pPr>
  </w:style>
  <w:style w:type="character" w:customStyle="1" w:styleId="11">
    <w:name w:val="批注文字 字符1"/>
    <w:uiPriority w:val="99"/>
    <w:rsid w:val="00342586"/>
    <w:rPr>
      <w:rFonts w:ascii="Times New Roman" w:eastAsia="宋体" w:hAnsi="Times New Roman" w:cs="Times New Roman"/>
      <w:szCs w:val="24"/>
    </w:rPr>
  </w:style>
  <w:style w:type="paragraph" w:styleId="af0">
    <w:name w:val="header"/>
    <w:basedOn w:val="a0"/>
    <w:link w:val="af1"/>
    <w:uiPriority w:val="99"/>
    <w:unhideWhenUsed/>
    <w:rsid w:val="00433C95"/>
    <w:pPr>
      <w:tabs>
        <w:tab w:val="center" w:pos="4153"/>
        <w:tab w:val="right" w:pos="8306"/>
      </w:tabs>
      <w:snapToGrid w:val="0"/>
      <w:jc w:val="center"/>
    </w:pPr>
    <w:rPr>
      <w:sz w:val="18"/>
      <w:szCs w:val="18"/>
    </w:rPr>
  </w:style>
  <w:style w:type="character" w:customStyle="1" w:styleId="af1">
    <w:name w:val="页眉 字符"/>
    <w:basedOn w:val="a1"/>
    <w:link w:val="af0"/>
    <w:uiPriority w:val="99"/>
    <w:rsid w:val="00433C95"/>
    <w:rPr>
      <w:sz w:val="18"/>
      <w:szCs w:val="18"/>
    </w:rPr>
  </w:style>
  <w:style w:type="paragraph" w:styleId="af2">
    <w:name w:val="footer"/>
    <w:basedOn w:val="a0"/>
    <w:link w:val="af3"/>
    <w:uiPriority w:val="99"/>
    <w:unhideWhenUsed/>
    <w:rsid w:val="00433C95"/>
    <w:pPr>
      <w:tabs>
        <w:tab w:val="center" w:pos="4153"/>
        <w:tab w:val="right" w:pos="8306"/>
      </w:tabs>
      <w:snapToGrid w:val="0"/>
    </w:pPr>
    <w:rPr>
      <w:sz w:val="18"/>
      <w:szCs w:val="18"/>
    </w:rPr>
  </w:style>
  <w:style w:type="character" w:customStyle="1" w:styleId="af3">
    <w:name w:val="页脚 字符"/>
    <w:basedOn w:val="a1"/>
    <w:link w:val="af2"/>
    <w:uiPriority w:val="99"/>
    <w:rsid w:val="00433C95"/>
    <w:rPr>
      <w:sz w:val="18"/>
      <w:szCs w:val="18"/>
    </w:rPr>
  </w:style>
  <w:style w:type="paragraph" w:customStyle="1" w:styleId="a">
    <w:name w:val="文献"/>
    <w:basedOn w:val="a0"/>
    <w:link w:val="af4"/>
    <w:qFormat/>
    <w:rsid w:val="001F0891"/>
    <w:pPr>
      <w:numPr>
        <w:numId w:val="2"/>
      </w:numPr>
      <w:spacing w:line="360" w:lineRule="auto"/>
    </w:pPr>
    <w:rPr>
      <w:sz w:val="21"/>
      <w:szCs w:val="21"/>
    </w:rPr>
  </w:style>
  <w:style w:type="character" w:customStyle="1" w:styleId="af4">
    <w:name w:val="文献 字符"/>
    <w:basedOn w:val="a1"/>
    <w:link w:val="a"/>
    <w:rsid w:val="001F0891"/>
    <w:rPr>
      <w:rFonts w:ascii="Times New Roman" w:hAnsi="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AEBE6-38C5-4723-A1D2-54D4F8167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2463</Words>
  <Characters>14040</Characters>
  <Application>Microsoft Office Word</Application>
  <DocSecurity>0</DocSecurity>
  <Lines>117</Lines>
  <Paragraphs>32</Paragraphs>
  <ScaleCrop>false</ScaleCrop>
  <Company/>
  <LinksUpToDate>false</LinksUpToDate>
  <CharactersWithSpaces>16471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difei yan</cp:lastModifiedBy>
  <cp:revision>87</cp:revision>
  <dcterms:created xsi:type="dcterms:W3CDTF">2026-06-25T02:22:00Z</dcterms:created>
  <dcterms:modified xsi:type="dcterms:W3CDTF">2026-06-25T13:36:00Z</dcterms:modified>
</cp:coreProperties>
</file>