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5B5925">
      <w:pPr>
        <w:keepNext w:val="0"/>
        <w:keepLines w:val="0"/>
        <w:pageBreakBefore w:val="0"/>
        <w:widowControl w:val="0"/>
        <w:kinsoku/>
        <w:wordWrap/>
        <w:overflowPunct/>
        <w:topLinePunct w:val="0"/>
        <w:autoSpaceDE/>
        <w:autoSpaceDN/>
        <w:bidi w:val="0"/>
        <w:adjustRightInd/>
        <w:snapToGrid/>
        <w:spacing w:before="157" w:beforeLines="50" w:after="157" w:afterLines="50" w:line="560" w:lineRule="exact"/>
        <w:jc w:val="center"/>
        <w:textAlignment w:val="auto"/>
        <w:outlineLvl w:val="0"/>
        <w:rPr>
          <w:rFonts w:hint="eastAsia" w:ascii="黑体" w:hAnsi="黑体" w:eastAsia="黑体" w:cs="黑体"/>
          <w:b/>
          <w:bCs/>
          <w:sz w:val="32"/>
          <w:szCs w:val="40"/>
          <w:highlight w:val="green"/>
          <w:lang w:val="en-US" w:eastAsia="zh-CN"/>
        </w:rPr>
      </w:pPr>
      <w:r>
        <w:rPr>
          <w:rFonts w:hint="eastAsia" w:ascii="黑体" w:hAnsi="黑体" w:eastAsia="黑体" w:cs="黑体"/>
          <w:b/>
          <w:bCs/>
          <w:sz w:val="32"/>
          <w:szCs w:val="40"/>
          <w:highlight w:val="green"/>
          <w:lang w:val="en-US" w:eastAsia="zh-CN"/>
        </w:rPr>
        <w:t>附件1  项目实施过程：分级报告模板</w:t>
      </w:r>
    </w:p>
    <w:p w14:paraId="765B9417">
      <w:pPr>
        <w:keepNext w:val="0"/>
        <w:keepLines w:val="0"/>
        <w:pageBreakBefore w:val="0"/>
        <w:widowControl w:val="0"/>
        <w:kinsoku/>
        <w:wordWrap/>
        <w:overflowPunct/>
        <w:topLinePunct w:val="0"/>
        <w:autoSpaceDE/>
        <w:autoSpaceDN/>
        <w:bidi w:val="0"/>
        <w:adjustRightInd/>
        <w:snapToGrid/>
        <w:jc w:val="left"/>
        <w:textAlignment w:val="auto"/>
        <w:outlineLvl w:val="1"/>
        <w:rPr>
          <w:rFonts w:hint="eastAsia" w:ascii="仿宋_GB2312" w:eastAsia="仿宋_GB2312"/>
          <w:b/>
          <w:color w:val="auto"/>
          <w:sz w:val="32"/>
          <w:szCs w:val="32"/>
          <w:highlight w:val="none"/>
          <w:lang w:eastAsia="zh-CN"/>
        </w:rPr>
      </w:pPr>
      <w:r>
        <w:rPr>
          <w:rFonts w:hint="eastAsia" w:ascii="仿宋_GB2312" w:eastAsia="仿宋_GB2312"/>
          <w:b/>
          <w:color w:val="auto"/>
          <w:sz w:val="32"/>
          <w:szCs w:val="32"/>
          <w:highlight w:val="none"/>
        </w:rPr>
        <w:t>附件</w:t>
      </w:r>
      <w:r>
        <w:rPr>
          <w:rFonts w:hint="eastAsia" w:ascii="仿宋_GB2312" w:eastAsia="仿宋_GB2312"/>
          <w:b/>
          <w:color w:val="auto"/>
          <w:sz w:val="32"/>
          <w:szCs w:val="32"/>
          <w:highlight w:val="none"/>
          <w:lang w:val="en-US" w:eastAsia="zh-CN"/>
        </w:rPr>
        <w:t xml:space="preserve">1-1  </w:t>
      </w:r>
      <w:r>
        <w:rPr>
          <w:rFonts w:hint="eastAsia" w:ascii="仿宋_GB2312" w:eastAsia="仿宋_GB2312"/>
          <w:b/>
          <w:color w:val="auto"/>
          <w:sz w:val="32"/>
          <w:szCs w:val="32"/>
          <w:highlight w:val="none"/>
          <w:lang w:eastAsia="zh-CN"/>
        </w:rPr>
        <w:t>项目周研究进展模板</w:t>
      </w:r>
    </w:p>
    <w:p w14:paraId="03C98E23">
      <w:pPr>
        <w:spacing w:line="360" w:lineRule="auto"/>
        <w:jc w:val="center"/>
        <w:rPr>
          <w:rFonts w:ascii="仿宋_GB2312" w:hAnsi="Calibri"/>
          <w:b/>
          <w:color w:val="auto"/>
          <w:sz w:val="28"/>
          <w:szCs w:val="28"/>
          <w:highlight w:val="none"/>
        </w:rPr>
      </w:pPr>
      <w:r>
        <w:rPr>
          <w:rFonts w:hint="eastAsia" w:ascii="仿宋_GB2312" w:hAnsi="Calibri"/>
          <w:b/>
          <w:color w:val="auto"/>
          <w:sz w:val="28"/>
          <w:szCs w:val="28"/>
          <w:highlight w:val="none"/>
          <w:lang w:val="en-US" w:eastAsia="zh-CN"/>
        </w:rPr>
        <w:t>1月19日-1月23日项目周度执行情况简报</w:t>
      </w:r>
    </w:p>
    <w:tbl>
      <w:tblPr>
        <w:tblStyle w:val="8"/>
        <w:tblW w:w="9850"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9850"/>
      </w:tblGrid>
      <w:tr w14:paraId="5E517AF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77" w:hRule="atLeast"/>
          <w:jc w:val="center"/>
        </w:trPr>
        <w:tc>
          <w:tcPr>
            <w:tcW w:w="9850" w:type="dxa"/>
            <w:noWrap w:val="0"/>
            <w:vAlign w:val="center"/>
          </w:tcPr>
          <w:p w14:paraId="14DBFAD0">
            <w:pPr>
              <w:spacing w:line="440" w:lineRule="exact"/>
              <w:rPr>
                <w:rFonts w:hint="eastAsia" w:ascii="宋体" w:hAnsi="宋体" w:eastAsia="宋体" w:cs="宋体"/>
                <w:b w:val="0"/>
                <w:bCs/>
                <w:color w:val="auto"/>
                <w:sz w:val="24"/>
                <w:szCs w:val="22"/>
                <w:highlight w:val="none"/>
              </w:rPr>
            </w:pPr>
            <w:r>
              <w:rPr>
                <w:rFonts w:hint="eastAsia" w:ascii="宋体" w:hAnsi="宋体" w:eastAsia="宋体" w:cs="宋体"/>
                <w:b w:val="0"/>
                <w:bCs/>
                <w:color w:val="auto"/>
                <w:sz w:val="24"/>
                <w:szCs w:val="22"/>
                <w:highlight w:val="none"/>
              </w:rPr>
              <w:t>本</w:t>
            </w:r>
            <w:r>
              <w:rPr>
                <w:rFonts w:hint="eastAsia" w:ascii="宋体" w:hAnsi="宋体" w:eastAsia="宋体" w:cs="宋体"/>
                <w:b w:val="0"/>
                <w:bCs/>
                <w:color w:val="auto"/>
                <w:sz w:val="24"/>
                <w:szCs w:val="22"/>
                <w:highlight w:val="none"/>
                <w:lang w:eastAsia="zh-CN"/>
              </w:rPr>
              <w:t>周</w:t>
            </w:r>
            <w:r>
              <w:rPr>
                <w:rFonts w:hint="eastAsia" w:ascii="宋体" w:hAnsi="宋体" w:eastAsia="宋体" w:cs="宋体"/>
                <w:b w:val="0"/>
                <w:bCs/>
                <w:color w:val="auto"/>
                <w:sz w:val="24"/>
                <w:szCs w:val="22"/>
                <w:highlight w:val="none"/>
              </w:rPr>
              <w:t>工作</w:t>
            </w:r>
            <w:r>
              <w:rPr>
                <w:rFonts w:hint="eastAsia" w:ascii="宋体" w:hAnsi="宋体" w:eastAsia="宋体" w:cs="宋体"/>
                <w:b w:val="0"/>
                <w:bCs/>
                <w:color w:val="auto"/>
                <w:sz w:val="24"/>
                <w:szCs w:val="22"/>
                <w:highlight w:val="none"/>
                <w:lang w:val="en-US" w:eastAsia="zh-CN"/>
              </w:rPr>
              <w:t>总结（不超过200字）：</w:t>
            </w:r>
          </w:p>
        </w:tc>
      </w:tr>
      <w:tr w14:paraId="06CD3B8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514" w:hRule="atLeast"/>
          <w:jc w:val="center"/>
        </w:trPr>
        <w:tc>
          <w:tcPr>
            <w:tcW w:w="9850" w:type="dxa"/>
            <w:noWrap w:val="0"/>
            <w:vAlign w:val="center"/>
          </w:tcPr>
          <w:p w14:paraId="2E388120">
            <w:pPr>
              <w:spacing w:line="440" w:lineRule="exact"/>
              <w:rPr>
                <w:rFonts w:hint="eastAsia" w:ascii="宋体" w:hAnsi="宋体" w:eastAsia="宋体" w:cs="宋体"/>
                <w:b w:val="0"/>
                <w:bCs/>
                <w:color w:val="auto"/>
                <w:sz w:val="24"/>
                <w:szCs w:val="22"/>
                <w:highlight w:val="none"/>
                <w:lang w:val="en-US" w:eastAsia="zh-CN"/>
              </w:rPr>
            </w:pPr>
            <w:r>
              <w:rPr>
                <w:rFonts w:hint="eastAsia" w:ascii="宋体" w:hAnsi="宋体" w:eastAsia="宋体" w:cs="宋体"/>
                <w:b w:val="0"/>
                <w:bCs/>
                <w:color w:val="auto"/>
                <w:sz w:val="24"/>
                <w:szCs w:val="22"/>
                <w:highlight w:val="none"/>
                <w:lang w:val="en-US" w:eastAsia="zh-CN"/>
              </w:rPr>
              <w:t>电网交互接口封装： 针对Python与OpenDSS仿真引擎的数据交互接口进行了标准化封装，重点将潮流计算调用、电网节点状态读取等核心功能模块化，目前正在进行不同电网拓扑结构下的接口适配测试，以确保在异构电网模型下的通用性。</w:t>
            </w:r>
          </w:p>
          <w:p w14:paraId="25986BEC">
            <w:pPr>
              <w:spacing w:line="440" w:lineRule="exact"/>
              <w:rPr>
                <w:rFonts w:hint="default" w:ascii="宋体" w:hAnsi="宋体" w:eastAsia="宋体" w:cs="宋体"/>
                <w:b w:val="0"/>
                <w:bCs/>
                <w:color w:val="auto"/>
                <w:sz w:val="24"/>
                <w:szCs w:val="22"/>
                <w:highlight w:val="none"/>
                <w:lang w:val="en-US" w:eastAsia="zh-CN"/>
              </w:rPr>
            </w:pPr>
            <w:r>
              <w:rPr>
                <w:rFonts w:hint="eastAsia" w:ascii="宋体" w:hAnsi="宋体" w:eastAsia="宋体" w:cs="宋体"/>
                <w:b w:val="0"/>
                <w:bCs/>
                <w:color w:val="auto"/>
                <w:sz w:val="24"/>
                <w:szCs w:val="22"/>
                <w:highlight w:val="none"/>
                <w:lang w:val="en-US" w:eastAsia="zh-CN"/>
              </w:rPr>
              <w:t>协同边界适配： 搭建了主配微多级协同系统的通信接口测试环境，初步验证了ADMM算法在电网边界功率波动场景下的接口响应稳定性；梳理了电网源荷数据的交互协议，完成了协同计算接口文档中关于电网模型映射部分的初稿编制。</w:t>
            </w:r>
          </w:p>
        </w:tc>
      </w:tr>
      <w:tr w14:paraId="4767E93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58" w:hRule="atLeast"/>
          <w:jc w:val="center"/>
        </w:trPr>
        <w:tc>
          <w:tcPr>
            <w:tcW w:w="9850" w:type="dxa"/>
            <w:noWrap w:val="0"/>
            <w:vAlign w:val="center"/>
          </w:tcPr>
          <w:p w14:paraId="2FF4485F">
            <w:pPr>
              <w:spacing w:line="440" w:lineRule="exact"/>
              <w:rPr>
                <w:rFonts w:hint="eastAsia" w:ascii="宋体" w:hAnsi="宋体" w:eastAsia="宋体" w:cs="宋体"/>
                <w:b w:val="0"/>
                <w:bCs/>
                <w:color w:val="auto"/>
                <w:sz w:val="24"/>
                <w:szCs w:val="22"/>
                <w:highlight w:val="none"/>
              </w:rPr>
            </w:pPr>
            <w:r>
              <w:rPr>
                <w:rFonts w:hint="eastAsia" w:ascii="宋体" w:hAnsi="宋体" w:eastAsia="宋体" w:cs="宋体"/>
                <w:b w:val="0"/>
                <w:bCs/>
                <w:color w:val="auto"/>
                <w:sz w:val="24"/>
                <w:szCs w:val="22"/>
                <w:highlight w:val="none"/>
              </w:rPr>
              <w:t>存在问题及解决措施</w:t>
            </w:r>
            <w:r>
              <w:rPr>
                <w:rFonts w:hint="eastAsia" w:ascii="宋体" w:hAnsi="宋体" w:eastAsia="宋体" w:cs="宋体"/>
                <w:b w:val="0"/>
                <w:bCs/>
                <w:color w:val="auto"/>
                <w:sz w:val="24"/>
                <w:szCs w:val="22"/>
                <w:highlight w:val="none"/>
                <w:lang w:val="en-US" w:eastAsia="zh-CN"/>
              </w:rPr>
              <w:t>（不超过200字）</w:t>
            </w:r>
          </w:p>
        </w:tc>
      </w:tr>
      <w:tr w14:paraId="5212AFE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58" w:hRule="atLeast"/>
          <w:jc w:val="center"/>
        </w:trPr>
        <w:tc>
          <w:tcPr>
            <w:tcW w:w="9850" w:type="dxa"/>
            <w:noWrap w:val="0"/>
            <w:vAlign w:val="center"/>
          </w:tcPr>
          <w:p w14:paraId="6C1D2DD8">
            <w:pPr>
              <w:spacing w:line="440" w:lineRule="exact"/>
              <w:rPr>
                <w:rFonts w:hint="eastAsia" w:ascii="宋体" w:hAnsi="宋体" w:eastAsia="宋体" w:cs="宋体"/>
                <w:b w:val="0"/>
                <w:bCs/>
                <w:color w:val="auto"/>
                <w:sz w:val="24"/>
                <w:szCs w:val="22"/>
                <w:highlight w:val="none"/>
              </w:rPr>
            </w:pPr>
            <w:r>
              <w:rPr>
                <w:rFonts w:hint="eastAsia" w:ascii="宋体" w:hAnsi="宋体" w:eastAsia="宋体" w:cs="宋体"/>
                <w:b w:val="0"/>
                <w:bCs/>
                <w:color w:val="auto"/>
                <w:sz w:val="24"/>
                <w:szCs w:val="22"/>
                <w:highlight w:val="none"/>
              </w:rPr>
              <w:t>问题描述： 在封装电网模型解析接口时，发现旧版代码中的全局变量定义在处理多区域电网并行加载时存在冲突，导致部分节点电压数据回传错误，影响了封装进度。</w:t>
            </w:r>
          </w:p>
          <w:p w14:paraId="46D34FE1">
            <w:pPr>
              <w:spacing w:line="440" w:lineRule="exact"/>
              <w:rPr>
                <w:rFonts w:hint="eastAsia" w:ascii="宋体" w:hAnsi="宋体" w:eastAsia="宋体" w:cs="宋体"/>
                <w:b w:val="0"/>
                <w:bCs/>
                <w:color w:val="auto"/>
                <w:sz w:val="24"/>
                <w:szCs w:val="22"/>
                <w:highlight w:val="none"/>
              </w:rPr>
            </w:pPr>
            <w:r>
              <w:rPr>
                <w:rFonts w:hint="eastAsia" w:ascii="宋体" w:hAnsi="宋体" w:eastAsia="宋体" w:cs="宋体"/>
                <w:b w:val="0"/>
                <w:bCs/>
                <w:color w:val="auto"/>
                <w:sz w:val="24"/>
                <w:szCs w:val="22"/>
                <w:highlight w:val="none"/>
              </w:rPr>
              <w:t>解决措施： 正在重构电网对象的实例化逻辑，引入命名空间隔离机制，确保在大规模电网分区分块计算时的数据安全性。</w:t>
            </w:r>
          </w:p>
          <w:p w14:paraId="31AD63F2">
            <w:pPr>
              <w:spacing w:line="440" w:lineRule="exact"/>
              <w:rPr>
                <w:rFonts w:hint="eastAsia" w:ascii="宋体" w:hAnsi="宋体" w:eastAsia="宋体" w:cs="宋体"/>
                <w:b w:val="0"/>
                <w:bCs/>
                <w:color w:val="auto"/>
                <w:sz w:val="24"/>
                <w:szCs w:val="22"/>
                <w:highlight w:val="none"/>
              </w:rPr>
            </w:pPr>
            <w:r>
              <w:rPr>
                <w:rFonts w:hint="eastAsia" w:ascii="宋体" w:hAnsi="宋体" w:eastAsia="宋体" w:cs="宋体"/>
                <w:b w:val="0"/>
                <w:bCs/>
                <w:color w:val="auto"/>
                <w:sz w:val="24"/>
                <w:szCs w:val="22"/>
                <w:highlight w:val="none"/>
              </w:rPr>
              <w:t>解决时间： 1月</w:t>
            </w:r>
            <w:r>
              <w:rPr>
                <w:rFonts w:hint="eastAsia" w:ascii="宋体" w:hAnsi="宋体" w:eastAsia="宋体" w:cs="宋体"/>
                <w:b w:val="0"/>
                <w:bCs/>
                <w:color w:val="auto"/>
                <w:sz w:val="24"/>
                <w:szCs w:val="22"/>
                <w:highlight w:val="none"/>
                <w:lang w:val="en-US" w:eastAsia="zh-CN"/>
              </w:rPr>
              <w:t>20</w:t>
            </w:r>
            <w:r>
              <w:rPr>
                <w:rFonts w:hint="eastAsia" w:ascii="宋体" w:hAnsi="宋体" w:eastAsia="宋体" w:cs="宋体"/>
                <w:b w:val="0"/>
                <w:bCs/>
                <w:color w:val="auto"/>
                <w:sz w:val="24"/>
                <w:szCs w:val="22"/>
                <w:highlight w:val="none"/>
              </w:rPr>
              <w:t>日</w:t>
            </w:r>
          </w:p>
          <w:p w14:paraId="23D3E661">
            <w:pPr>
              <w:spacing w:line="440" w:lineRule="exact"/>
              <w:rPr>
                <w:rFonts w:hint="eastAsia" w:ascii="宋体" w:hAnsi="宋体" w:eastAsia="宋体" w:cs="宋体"/>
                <w:b w:val="0"/>
                <w:bCs/>
                <w:color w:val="auto"/>
                <w:sz w:val="24"/>
                <w:szCs w:val="22"/>
                <w:highlight w:val="none"/>
              </w:rPr>
            </w:pPr>
            <w:r>
              <w:rPr>
                <w:rFonts w:hint="eastAsia" w:ascii="宋体" w:hAnsi="宋体" w:eastAsia="宋体" w:cs="宋体"/>
                <w:b w:val="0"/>
                <w:bCs/>
                <w:color w:val="auto"/>
                <w:sz w:val="24"/>
                <w:szCs w:val="22"/>
                <w:highlight w:val="none"/>
              </w:rPr>
              <w:t>落实责任人： 陈星延</w:t>
            </w:r>
          </w:p>
        </w:tc>
      </w:tr>
      <w:tr w14:paraId="61C6ECC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58" w:hRule="atLeast"/>
          <w:jc w:val="center"/>
        </w:trPr>
        <w:tc>
          <w:tcPr>
            <w:tcW w:w="9850" w:type="dxa"/>
            <w:noWrap w:val="0"/>
            <w:vAlign w:val="center"/>
          </w:tcPr>
          <w:p w14:paraId="7AD31144">
            <w:pPr>
              <w:spacing w:line="440" w:lineRule="exact"/>
              <w:rPr>
                <w:rFonts w:hint="eastAsia" w:ascii="宋体" w:hAnsi="宋体" w:eastAsia="宋体" w:cs="宋体"/>
                <w:b w:val="0"/>
                <w:bCs/>
                <w:color w:val="auto"/>
                <w:sz w:val="24"/>
                <w:szCs w:val="22"/>
                <w:highlight w:val="none"/>
              </w:rPr>
            </w:pPr>
            <w:r>
              <w:rPr>
                <w:rFonts w:hint="eastAsia" w:ascii="宋体" w:hAnsi="宋体" w:eastAsia="宋体" w:cs="宋体"/>
                <w:b w:val="0"/>
                <w:bCs/>
                <w:color w:val="auto"/>
                <w:sz w:val="24"/>
                <w:szCs w:val="22"/>
                <w:highlight w:val="none"/>
              </w:rPr>
              <w:t>下</w:t>
            </w:r>
            <w:r>
              <w:rPr>
                <w:rFonts w:hint="eastAsia" w:ascii="宋体" w:hAnsi="宋体" w:eastAsia="宋体" w:cs="宋体"/>
                <w:b w:val="0"/>
                <w:bCs/>
                <w:color w:val="auto"/>
                <w:sz w:val="24"/>
                <w:szCs w:val="22"/>
                <w:highlight w:val="none"/>
                <w:lang w:eastAsia="zh-CN"/>
              </w:rPr>
              <w:t>周</w:t>
            </w:r>
            <w:r>
              <w:rPr>
                <w:rFonts w:hint="eastAsia" w:ascii="宋体" w:hAnsi="宋体" w:eastAsia="宋体" w:cs="宋体"/>
                <w:b w:val="0"/>
                <w:bCs/>
                <w:color w:val="auto"/>
                <w:sz w:val="24"/>
                <w:szCs w:val="22"/>
                <w:highlight w:val="none"/>
              </w:rPr>
              <w:t>工作计划</w:t>
            </w:r>
            <w:r>
              <w:rPr>
                <w:rFonts w:hint="eastAsia" w:ascii="宋体" w:hAnsi="宋体" w:eastAsia="宋体" w:cs="宋体"/>
                <w:b w:val="0"/>
                <w:bCs/>
                <w:color w:val="auto"/>
                <w:sz w:val="24"/>
                <w:szCs w:val="22"/>
                <w:highlight w:val="none"/>
                <w:lang w:val="en-US" w:eastAsia="zh-CN"/>
              </w:rPr>
              <w:t>（不超过200字）</w:t>
            </w:r>
          </w:p>
        </w:tc>
      </w:tr>
      <w:tr w14:paraId="44870C6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359" w:hRule="atLeast"/>
          <w:jc w:val="center"/>
        </w:trPr>
        <w:tc>
          <w:tcPr>
            <w:tcW w:w="9850" w:type="dxa"/>
            <w:noWrap w:val="0"/>
            <w:vAlign w:val="center"/>
          </w:tcPr>
          <w:p w14:paraId="5728D8AE">
            <w:pPr>
              <w:spacing w:line="440" w:lineRule="exact"/>
              <w:rPr>
                <w:rFonts w:hint="eastAsia" w:ascii="宋体" w:hAnsi="宋体" w:eastAsia="宋体" w:cs="宋体"/>
                <w:b w:val="0"/>
                <w:bCs/>
                <w:color w:val="auto"/>
                <w:sz w:val="24"/>
                <w:szCs w:val="22"/>
                <w:highlight w:val="none"/>
                <w:lang w:val="en-US" w:eastAsia="zh-CN"/>
              </w:rPr>
            </w:pPr>
            <w:r>
              <w:rPr>
                <w:rFonts w:hint="eastAsia" w:ascii="宋体" w:hAnsi="宋体" w:eastAsia="宋体" w:cs="宋体"/>
                <w:b w:val="0"/>
                <w:bCs/>
                <w:color w:val="auto"/>
                <w:sz w:val="24"/>
                <w:szCs w:val="22"/>
                <w:highlight w:val="none"/>
                <w:lang w:val="en-US" w:eastAsia="zh-CN"/>
              </w:rPr>
              <w:t>1、完成电网仿真API库的单元测试，针对示范工程实际电网数据进行接口压力测试，验证数据解析模块的鲁棒性。</w:t>
            </w:r>
            <w:bookmarkStart w:id="0" w:name="_GoBack"/>
            <w:bookmarkEnd w:id="0"/>
          </w:p>
          <w:p w14:paraId="1EEC04E5">
            <w:pPr>
              <w:spacing w:line="440" w:lineRule="exact"/>
              <w:rPr>
                <w:rFonts w:hint="eastAsia" w:ascii="宋体" w:hAnsi="宋体" w:eastAsia="宋体" w:cs="宋体"/>
                <w:b w:val="0"/>
                <w:bCs/>
                <w:color w:val="auto"/>
                <w:sz w:val="24"/>
                <w:szCs w:val="22"/>
                <w:highlight w:val="none"/>
                <w:lang w:val="en-US" w:eastAsia="zh-CN"/>
              </w:rPr>
            </w:pPr>
            <w:r>
              <w:rPr>
                <w:rFonts w:hint="eastAsia" w:ascii="宋体" w:hAnsi="宋体" w:eastAsia="宋体" w:cs="宋体"/>
                <w:b w:val="0"/>
                <w:bCs/>
                <w:color w:val="auto"/>
                <w:sz w:val="24"/>
                <w:szCs w:val="22"/>
                <w:highlight w:val="none"/>
                <w:lang w:val="en-US" w:eastAsia="zh-CN"/>
              </w:rPr>
              <w:t>2、继续完善主配微协同计算的接口定义，对现场采集的电网量测数据进行清洗与格式对齐，为后续的小规模系统联调做准备。</w:t>
            </w:r>
          </w:p>
          <w:p w14:paraId="39C1B5E4">
            <w:pPr>
              <w:spacing w:line="440" w:lineRule="exact"/>
              <w:rPr>
                <w:rFonts w:hint="eastAsia" w:ascii="宋体" w:hAnsi="宋体" w:eastAsia="宋体" w:cs="宋体"/>
                <w:b w:val="0"/>
                <w:bCs/>
                <w:color w:val="auto"/>
                <w:sz w:val="24"/>
                <w:szCs w:val="22"/>
                <w:highlight w:val="none"/>
              </w:rPr>
            </w:pPr>
            <w:r>
              <w:rPr>
                <w:rFonts w:hint="eastAsia" w:ascii="宋体" w:hAnsi="宋体" w:eastAsia="宋体" w:cs="宋体"/>
                <w:b w:val="0"/>
                <w:bCs/>
                <w:color w:val="auto"/>
                <w:sz w:val="24"/>
                <w:szCs w:val="22"/>
                <w:highlight w:val="none"/>
                <w:lang w:val="en-US" w:eastAsia="zh-CN"/>
              </w:rPr>
              <w:t>3、结合接口封装进度，进一步测试算法在极端电网运行工况（如电压越限、通信丢包）下的收敛参数区间。</w:t>
            </w:r>
          </w:p>
        </w:tc>
      </w:tr>
    </w:tbl>
    <w:p w14:paraId="24A001E8">
      <w:pPr>
        <w:pStyle w:val="2"/>
        <w:keepNext w:val="0"/>
        <w:keepLines w:val="0"/>
        <w:pageBreakBefore w:val="0"/>
        <w:widowControl w:val="0"/>
        <w:kinsoku/>
        <w:wordWrap/>
        <w:overflowPunct/>
        <w:topLinePunct w:val="0"/>
        <w:autoSpaceDE/>
        <w:autoSpaceDN/>
        <w:bidi w:val="0"/>
        <w:adjustRightInd/>
        <w:snapToGrid/>
        <w:spacing w:line="520" w:lineRule="exact"/>
        <w:ind w:left="0" w:leftChars="0" w:firstLine="0" w:firstLineChars="0"/>
        <w:textAlignment w:val="auto"/>
        <w:rPr>
          <w:rFonts w:hint="default"/>
          <w:lang w:val="en-US" w:eastAsia="zh-CN"/>
        </w:rPr>
      </w:pPr>
    </w:p>
    <w:sectPr>
      <w:footerReference r:id="rId3" w:type="default"/>
      <w:pgSz w:w="11906" w:h="16838"/>
      <w:pgMar w:top="1553" w:right="1633" w:bottom="1553" w:left="163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C8B41">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44166F">
                          <w:pPr>
                            <w:pStyle w:val="5"/>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6044166F">
                    <w:pPr>
                      <w:pStyle w:val="5"/>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F21968"/>
    <w:rsid w:val="022B2C0A"/>
    <w:rsid w:val="035868CE"/>
    <w:rsid w:val="03DF5C61"/>
    <w:rsid w:val="07553680"/>
    <w:rsid w:val="07C34CBD"/>
    <w:rsid w:val="0A841747"/>
    <w:rsid w:val="0AD22BB6"/>
    <w:rsid w:val="0C0467E5"/>
    <w:rsid w:val="0D2B24CA"/>
    <w:rsid w:val="0E087688"/>
    <w:rsid w:val="0EE36B00"/>
    <w:rsid w:val="11596786"/>
    <w:rsid w:val="1203209A"/>
    <w:rsid w:val="18671FC4"/>
    <w:rsid w:val="192B05CB"/>
    <w:rsid w:val="19300A9E"/>
    <w:rsid w:val="1A390C8D"/>
    <w:rsid w:val="1B2D2929"/>
    <w:rsid w:val="1BDD3964"/>
    <w:rsid w:val="1EEC2FCB"/>
    <w:rsid w:val="1F535C51"/>
    <w:rsid w:val="202E7C6C"/>
    <w:rsid w:val="2095074D"/>
    <w:rsid w:val="22235134"/>
    <w:rsid w:val="22275910"/>
    <w:rsid w:val="2A433D90"/>
    <w:rsid w:val="311A4661"/>
    <w:rsid w:val="32F95CD6"/>
    <w:rsid w:val="356D0EEB"/>
    <w:rsid w:val="3673521D"/>
    <w:rsid w:val="377B0CF2"/>
    <w:rsid w:val="39174EB9"/>
    <w:rsid w:val="39AC71A4"/>
    <w:rsid w:val="3ADE3097"/>
    <w:rsid w:val="422F2A71"/>
    <w:rsid w:val="4443582F"/>
    <w:rsid w:val="447824DA"/>
    <w:rsid w:val="46EB197A"/>
    <w:rsid w:val="478B34F9"/>
    <w:rsid w:val="47AE2C54"/>
    <w:rsid w:val="48907682"/>
    <w:rsid w:val="4A6C480C"/>
    <w:rsid w:val="4E4F64CA"/>
    <w:rsid w:val="4FC57DD6"/>
    <w:rsid w:val="50C47696"/>
    <w:rsid w:val="516F13BA"/>
    <w:rsid w:val="571B1801"/>
    <w:rsid w:val="577F6A9F"/>
    <w:rsid w:val="57830CB2"/>
    <w:rsid w:val="57BE4AFC"/>
    <w:rsid w:val="592B51F6"/>
    <w:rsid w:val="5C773BF5"/>
    <w:rsid w:val="5C8F3053"/>
    <w:rsid w:val="620B4832"/>
    <w:rsid w:val="64946C4D"/>
    <w:rsid w:val="65043472"/>
    <w:rsid w:val="65EB6A74"/>
    <w:rsid w:val="68B05B70"/>
    <w:rsid w:val="6A2F06E1"/>
    <w:rsid w:val="6A307476"/>
    <w:rsid w:val="6C856C29"/>
    <w:rsid w:val="6D18082A"/>
    <w:rsid w:val="7374028A"/>
    <w:rsid w:val="737951C0"/>
    <w:rsid w:val="7460422C"/>
    <w:rsid w:val="77B20746"/>
    <w:rsid w:val="78FA7C0B"/>
    <w:rsid w:val="796844C1"/>
    <w:rsid w:val="7A50699C"/>
    <w:rsid w:val="7B3838B4"/>
    <w:rsid w:val="7C423F0E"/>
    <w:rsid w:val="7E5354AD"/>
    <w:rsid w:val="7EE108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99"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Normal Indent"/>
    <w:basedOn w:val="1"/>
    <w:next w:val="1"/>
    <w:qFormat/>
    <w:uiPriority w:val="0"/>
    <w:pPr>
      <w:spacing w:line="560" w:lineRule="exact"/>
      <w:ind w:firstLine="800" w:firstLineChars="200"/>
    </w:pPr>
  </w:style>
  <w:style w:type="paragraph" w:styleId="3">
    <w:name w:val="Salutation"/>
    <w:basedOn w:val="1"/>
    <w:next w:val="1"/>
    <w:qFormat/>
    <w:uiPriority w:val="99"/>
  </w:style>
  <w:style w:type="paragraph" w:styleId="4">
    <w:name w:val="Body Text"/>
    <w:basedOn w:val="1"/>
    <w:semiHidden/>
    <w:qFormat/>
    <w:uiPriority w:val="0"/>
    <w:rPr>
      <w:rFonts w:ascii="仿宋_GB2312" w:hAnsi="仿宋_GB2312" w:eastAsia="仿宋_GB2312" w:cs="仿宋_GB2312"/>
      <w:sz w:val="31"/>
      <w:szCs w:val="31"/>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qFormat/>
    <w:uiPriority w:val="0"/>
    <w:pPr>
      <w:spacing w:beforeAutospacing="1" w:afterAutospacing="1"/>
    </w:pPr>
    <w:rPr>
      <w:rFonts w:cs="Times New Roman"/>
      <w:sz w:val="24"/>
      <w:lang w:eastAsia="zh-CN"/>
    </w:rPr>
  </w:style>
  <w:style w:type="table" w:styleId="9">
    <w:name w:val="Table Grid"/>
    <w:basedOn w:val="8"/>
    <w:qFormat/>
    <w:uiPriority w:val="59"/>
    <w:rPr>
      <w:rFonts w:ascii="Calibri" w:hAnsi="Calibri" w:eastAsia="宋体" w:cs="Times New Roman"/>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1">
    <w:name w:val="List Paragraph"/>
    <w:basedOn w:val="1"/>
    <w:qFormat/>
    <w:uiPriority w:val="34"/>
    <w:pPr>
      <w:ind w:firstLine="420" w:firstLineChars="200"/>
    </w:pPr>
  </w:style>
  <w:style w:type="paragraph" w:customStyle="1" w:styleId="12">
    <w:name w:val="Table Text"/>
    <w:basedOn w:val="1"/>
    <w:semiHidden/>
    <w:qFormat/>
    <w:uiPriority w:val="0"/>
    <w:rPr>
      <w:rFonts w:ascii="宋体" w:hAnsi="宋体" w:eastAsia="宋体" w:cs="宋体"/>
      <w:sz w:val="25"/>
      <w:szCs w:val="25"/>
      <w:lang w:val="en-US" w:eastAsia="en-US" w:bidi="ar-SA"/>
    </w:rPr>
  </w:style>
  <w:style w:type="table" w:customStyle="1" w:styleId="13">
    <w:name w:val="Table Normal"/>
    <w:semiHidden/>
    <w:unhideWhenUsed/>
    <w:qFormat/>
    <w:uiPriority w:val="0"/>
    <w:tblPr>
      <w:tblCellMar>
        <w:top w:w="0" w:type="dxa"/>
        <w:left w:w="0" w:type="dxa"/>
        <w:bottom w:w="0" w:type="dxa"/>
        <w:right w:w="0" w:type="dxa"/>
      </w:tblCellMar>
    </w:tblPr>
  </w:style>
  <w:style w:type="paragraph" w:customStyle="1" w:styleId="14">
    <w:name w:val="列表段落1"/>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515</Words>
  <Characters>539</Characters>
  <Lines>0</Lines>
  <Paragraphs>0</Paragraphs>
  <TotalTime>20</TotalTime>
  <ScaleCrop>false</ScaleCrop>
  <LinksUpToDate>false</LinksUpToDate>
  <CharactersWithSpaces>549</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2025-11-04T01:15:00Z</dcterms:created>
  <dc:creator>jyy_yuanb</dc:creator>
  <cp:lastModifiedBy>stayreal</cp:lastModifiedBy>
  <cp:lastPrinted>2025-12-18T02:48:00Z</cp:lastPrinted>
  <dcterms:modified xsi:type="dcterms:W3CDTF">2026-01-23T06:44:00Z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21496EDA17E9493A88F2EAC0D92F173D_13</vt:lpwstr>
  </property>
  <property fmtid="{D5CDD505-2E9C-101B-9397-08002B2CF9AE}" pid="4" name="KSOTemplateDocerSaveRecord">
    <vt:lpwstr>eyJoZGlkIjoiMjAzYjJhMzFkNjBmNGU1MzcyODM1ZWFmZGE0ZWQ3MWQiLCJ1c2VySWQiOiIxMjIwNzc5OTk3In0=</vt:lpwstr>
  </property>
</Properties>
</file>