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33C3B">
      <w:pPr>
        <w:spacing w:before="156" w:beforeLines="50" w:after="156" w:afterLines="50" w:line="560" w:lineRule="exact"/>
        <w:jc w:val="center"/>
        <w:outlineLvl w:val="0"/>
        <w:rPr>
          <w:rFonts w:hint="eastAsia" w:ascii="黑体" w:hAnsi="黑体" w:eastAsia="黑体" w:cs="黑体"/>
          <w:b/>
          <w:bCs/>
          <w:sz w:val="32"/>
          <w:szCs w:val="40"/>
        </w:rPr>
      </w:pPr>
      <w:r>
        <w:rPr>
          <w:rFonts w:hint="eastAsia" w:ascii="黑体" w:hAnsi="黑体" w:eastAsia="黑体" w:cs="黑体"/>
          <w:b/>
          <w:bCs/>
          <w:sz w:val="32"/>
          <w:szCs w:val="40"/>
        </w:rPr>
        <w:t>附件1  项目实施过程：分级报告模板</w:t>
      </w:r>
    </w:p>
    <w:p w14:paraId="0D7A6D64">
      <w:pPr>
        <w:jc w:val="left"/>
        <w:outlineLvl w:val="1"/>
        <w:rPr>
          <w:rFonts w:ascii="仿宋_GB2312" w:eastAsia="仿宋_GB2312"/>
          <w:b/>
          <w:sz w:val="32"/>
          <w:szCs w:val="32"/>
        </w:rPr>
      </w:pPr>
      <w:r>
        <w:rPr>
          <w:rFonts w:hint="eastAsia" w:ascii="仿宋_GB2312" w:eastAsia="仿宋_GB2312"/>
          <w:b/>
          <w:sz w:val="32"/>
          <w:szCs w:val="32"/>
        </w:rPr>
        <w:t>附件1-1  项目周研究进展模板</w:t>
      </w:r>
    </w:p>
    <w:p w14:paraId="2CC35385">
      <w:pPr>
        <w:spacing w:line="360" w:lineRule="auto"/>
        <w:jc w:val="left"/>
        <w:rPr>
          <w:rFonts w:ascii="仿宋_GB2312" w:hAnsi="Calibri"/>
          <w:b/>
          <w:sz w:val="28"/>
          <w:szCs w:val="28"/>
        </w:rPr>
      </w:pPr>
      <w:r>
        <w:rPr>
          <w:rFonts w:hint="eastAsia" w:ascii="仿宋_GB2312" w:hAnsi="Calibri"/>
          <w:b/>
          <w:sz w:val="28"/>
          <w:szCs w:val="28"/>
        </w:rPr>
        <w:t>2026年5月1日-5月7日项目执行情况简报</w:t>
      </w:r>
    </w:p>
    <w:tbl>
      <w:tblPr>
        <w:tblStyle w:val="10"/>
        <w:tblW w:w="98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50"/>
      </w:tblGrid>
      <w:tr w14:paraId="18EFF2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7" w:hRule="atLeast"/>
          <w:jc w:val="center"/>
        </w:trPr>
        <w:tc>
          <w:tcPr>
            <w:tcW w:w="9850" w:type="dxa"/>
            <w:vAlign w:val="center"/>
          </w:tcPr>
          <w:p w14:paraId="5C67E603">
            <w:pPr>
              <w:spacing w:line="400" w:lineRule="exact"/>
              <w:rPr>
                <w:rFonts w:hint="eastAsia" w:ascii="宋体" w:hAnsi="宋体" w:eastAsia="宋体" w:cs="宋体"/>
                <w:bCs/>
                <w:sz w:val="22"/>
                <w:szCs w:val="21"/>
              </w:rPr>
            </w:pPr>
            <w:r>
              <w:rPr>
                <w:rFonts w:hint="eastAsia" w:ascii="宋体" w:hAnsi="宋体" w:eastAsia="宋体" w:cs="宋体"/>
                <w:b/>
                <w:sz w:val="22"/>
                <w:szCs w:val="21"/>
              </w:rPr>
              <w:t>本周工作总结</w:t>
            </w:r>
            <w:r>
              <w:rPr>
                <w:rFonts w:hint="eastAsia" w:ascii="宋体" w:hAnsi="宋体" w:eastAsia="宋体" w:cs="宋体"/>
                <w:bCs/>
                <w:sz w:val="22"/>
                <w:szCs w:val="21"/>
              </w:rPr>
              <w:t>（不超过200字）：</w:t>
            </w:r>
          </w:p>
        </w:tc>
      </w:tr>
      <w:tr w14:paraId="37CBBB2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64" w:hRule="atLeast"/>
          <w:jc w:val="center"/>
        </w:trPr>
        <w:tc>
          <w:tcPr>
            <w:tcW w:w="9850" w:type="dxa"/>
            <w:vAlign w:val="center"/>
          </w:tcPr>
          <w:p w14:paraId="4849649E">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本周重点开展了分区潮流计算、动态安全分析以及多时间尺度潮流优化三方面技术攻关及模块开发工作。截至目前主配微协同计算分析软件完成了基础版，具备潮流计算等基础功能。</w:t>
            </w:r>
          </w:p>
          <w:p w14:paraId="42A5EEA5">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（1）</w:t>
            </w:r>
            <w:r>
              <w:rPr>
                <w:rFonts w:ascii="宋体" w:hAnsi="宋体" w:eastAsia="宋体" w:cs="宋体"/>
                <w:bCs/>
                <w:sz w:val="22"/>
                <w:szCs w:val="22"/>
              </w:rPr>
              <w:t>分区潮流计算部分</w:t>
            </w:r>
            <w:r>
              <w:rPr>
                <w:rFonts w:hint="eastAsia" w:ascii="宋体" w:hAnsi="宋体" w:eastAsia="宋体" w:cs="宋体"/>
                <w:bCs/>
                <w:sz w:val="22"/>
                <w:szCs w:val="22"/>
              </w:rPr>
              <w:t>：</w:t>
            </w:r>
            <w:r>
              <w:rPr>
                <w:rFonts w:hint="eastAsia" w:ascii="宋体" w:hAnsi="宋体" w:eastAsia="宋体" w:cs="宋体"/>
                <w:sz w:val="22"/>
                <w:szCs w:val="22"/>
                <w:highlight w:val="yellow"/>
              </w:rPr>
              <w:t>配合整软件完成首轮集成测试，优化跨模块数据交互稳定性；完成长时序仿真场景72小时压测，内存复用策略效果稳定；完善分区解耦模块代码注释，配合完成白盒审查材料准备。</w:t>
            </w:r>
          </w:p>
          <w:p w14:paraId="72C10355">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（2）动态安全分析部分：</w:t>
            </w:r>
            <w:r>
              <w:rPr>
                <w:rFonts w:ascii="宋体" w:hAnsi="宋体" w:eastAsia="宋体" w:cs="宋体"/>
                <w:bCs/>
                <w:sz w:val="22"/>
                <w:szCs w:val="22"/>
              </w:rPr>
              <w:t>对上周建立的固定</w:t>
            </w:r>
            <w:r>
              <w:rPr>
                <w:rFonts w:ascii="宋体" w:hAnsi="宋体" w:eastAsia="宋体" w:cs="宋体"/>
                <w:bCs/>
                <w:i/>
                <w:iCs/>
                <w:sz w:val="22"/>
                <w:szCs w:val="22"/>
              </w:rPr>
              <w:t>t</w:t>
            </w:r>
            <w:r>
              <w:rPr>
                <w:rFonts w:ascii="宋体" w:hAnsi="宋体" w:eastAsia="宋体" w:cs="宋体"/>
                <w:bCs/>
                <w:sz w:val="22"/>
                <w:szCs w:val="22"/>
                <w:vertAlign w:val="subscript"/>
              </w:rPr>
              <w:t>1</w:t>
            </w:r>
            <w:r>
              <w:rPr>
                <w:rFonts w:ascii="宋体" w:hAnsi="宋体" w:eastAsia="宋体" w:cs="宋体"/>
                <w:bCs/>
                <w:sz w:val="22"/>
                <w:szCs w:val="22"/>
              </w:rPr>
              <w:t>时刻，扫描</w:t>
            </w:r>
            <w:r>
              <w:rPr>
                <w:rFonts w:ascii="宋体" w:hAnsi="宋体" w:eastAsia="宋体" w:cs="宋体"/>
                <w:bCs/>
                <w:i/>
                <w:iCs/>
                <w:sz w:val="22"/>
                <w:szCs w:val="22"/>
              </w:rPr>
              <w:t>t</w:t>
            </w:r>
            <w:r>
              <w:rPr>
                <w:rFonts w:ascii="宋体" w:hAnsi="宋体" w:eastAsia="宋体" w:cs="宋体"/>
                <w:bCs/>
                <w:sz w:val="22"/>
                <w:szCs w:val="22"/>
                <w:vertAlign w:val="subscript"/>
              </w:rPr>
              <w:t>2</w:t>
            </w:r>
            <w:r>
              <w:rPr>
                <w:rFonts w:ascii="宋体" w:hAnsi="宋体" w:eastAsia="宋体" w:cs="宋体"/>
                <w:bCs/>
                <w:sz w:val="22"/>
                <w:szCs w:val="22"/>
              </w:rPr>
              <w:t>时刻结合上下界二分法的求域方法进行了修改，建立了较为完善的可调资源二维可行域；优化自适应带宽核密度估计算法，完善概率潮流计算的matlab代码，实现与BPA潮流计算功能的快速交互</w:t>
            </w:r>
            <w:r>
              <w:rPr>
                <w:rFonts w:hint="eastAsia" w:ascii="宋体" w:hAnsi="宋体" w:eastAsia="宋体" w:cs="宋体"/>
                <w:bCs/>
                <w:sz w:val="22"/>
                <w:szCs w:val="22"/>
              </w:rPr>
              <w:t>；</w:t>
            </w:r>
          </w:p>
          <w:p w14:paraId="71A9DA73">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（3）多尺度优化部分，</w:t>
            </w:r>
            <w:r>
              <w:rPr>
                <w:rFonts w:hint="eastAsia" w:ascii="宋体" w:hAnsi="宋体" w:eastAsia="宋体" w:cs="宋体"/>
                <w:bCs/>
                <w:sz w:val="22"/>
                <w:szCs w:val="21"/>
              </w:rPr>
              <w:t>持续</w:t>
            </w:r>
            <w:r>
              <w:rPr>
                <w:rFonts w:ascii="宋体" w:hAnsi="宋体" w:eastAsia="宋体" w:cs="宋体"/>
                <w:bCs/>
                <w:sz w:val="22"/>
                <w:szCs w:val="21"/>
              </w:rPr>
              <w:t>深入分析潮流优化功能各精细化模块的逻辑及研发内容，研究了配微网异质资源聚合调节能力评估方法，开展了设备信息读取及状态分析功能开发</w:t>
            </w:r>
            <w:r>
              <w:rPr>
                <w:rFonts w:hint="eastAsia" w:ascii="宋体" w:hAnsi="宋体" w:eastAsia="宋体" w:cs="宋体"/>
                <w:bCs/>
                <w:sz w:val="22"/>
                <w:szCs w:val="21"/>
              </w:rPr>
              <w:t>；</w:t>
            </w:r>
          </w:p>
          <w:p w14:paraId="1C2E5050">
            <w:pPr>
              <w:spacing w:line="380" w:lineRule="exact"/>
              <w:ind w:firstLine="440" w:firstLineChars="200"/>
            </w:pPr>
            <w:r>
              <w:rPr>
                <w:rFonts w:hint="eastAsia" w:ascii="宋体" w:hAnsi="宋体" w:eastAsia="宋体" w:cs="宋体"/>
                <w:bCs/>
                <w:sz w:val="22"/>
                <w:szCs w:val="22"/>
              </w:rPr>
              <w:t>（4）计算分析软件部分，组织召开了课题一各功能模块推进会。</w:t>
            </w:r>
            <w:r>
              <w:t xml:space="preserve"> </w:t>
            </w:r>
          </w:p>
        </w:tc>
      </w:tr>
      <w:tr w14:paraId="671CD3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1DD7491E">
            <w:pPr>
              <w:spacing w:line="400" w:lineRule="exact"/>
              <w:rPr>
                <w:rFonts w:hint="eastAsia" w:ascii="宋体" w:hAnsi="宋体" w:eastAsia="宋体" w:cs="宋体"/>
                <w:bCs/>
                <w:sz w:val="22"/>
                <w:szCs w:val="21"/>
              </w:rPr>
            </w:pPr>
            <w:r>
              <w:rPr>
                <w:rFonts w:hint="eastAsia" w:ascii="宋体" w:hAnsi="宋体" w:eastAsia="宋体" w:cs="宋体"/>
                <w:b/>
                <w:sz w:val="22"/>
                <w:szCs w:val="21"/>
              </w:rPr>
              <w:t>存在问题及解决措施</w:t>
            </w:r>
            <w:r>
              <w:rPr>
                <w:rFonts w:hint="eastAsia" w:ascii="宋体" w:hAnsi="宋体" w:eastAsia="宋体" w:cs="宋体"/>
                <w:bCs/>
                <w:sz w:val="22"/>
                <w:szCs w:val="21"/>
              </w:rPr>
              <w:t>（不超过200字）</w:t>
            </w:r>
          </w:p>
        </w:tc>
      </w:tr>
      <w:tr w14:paraId="316BBB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55" w:hRule="atLeast"/>
          <w:jc w:val="center"/>
        </w:trPr>
        <w:tc>
          <w:tcPr>
            <w:tcW w:w="9850" w:type="dxa"/>
            <w:vAlign w:val="center"/>
          </w:tcPr>
          <w:p w14:paraId="57DB3FB2">
            <w:pPr>
              <w:spacing w:line="380" w:lineRule="exact"/>
              <w:rPr>
                <w:rFonts w:hint="eastAsia" w:ascii="宋体" w:hAnsi="宋体" w:eastAsia="宋体" w:cs="宋体"/>
                <w:bCs/>
                <w:sz w:val="22"/>
                <w:szCs w:val="21"/>
              </w:rPr>
            </w:pPr>
            <w:r>
              <w:rPr>
                <w:rFonts w:hint="eastAsia" w:ascii="宋体" w:hAnsi="宋体" w:eastAsia="宋体" w:cs="宋体"/>
                <w:bCs/>
                <w:sz w:val="22"/>
                <w:szCs w:val="21"/>
              </w:rPr>
              <w:t>问题描述：。</w:t>
            </w:r>
          </w:p>
          <w:p w14:paraId="112772CC">
            <w:pPr>
              <w:spacing w:line="380" w:lineRule="exact"/>
              <w:rPr>
                <w:rFonts w:hint="eastAsia" w:ascii="宋体" w:hAnsi="宋体" w:eastAsia="宋体" w:cs="宋体"/>
                <w:bCs/>
                <w:sz w:val="22"/>
                <w:szCs w:val="21"/>
              </w:rPr>
            </w:pPr>
            <w:r>
              <w:rPr>
                <w:rFonts w:hint="eastAsia" w:ascii="宋体" w:hAnsi="宋体" w:eastAsia="宋体" w:cs="宋体"/>
                <w:bCs/>
                <w:sz w:val="22"/>
                <w:szCs w:val="21"/>
              </w:rPr>
              <w:t>落实责任人：</w:t>
            </w:r>
          </w:p>
        </w:tc>
      </w:tr>
      <w:tr w14:paraId="10A8EC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0D04EA9B">
            <w:pPr>
              <w:spacing w:line="400" w:lineRule="exact"/>
              <w:rPr>
                <w:rFonts w:hint="eastAsia" w:ascii="宋体" w:hAnsi="宋体" w:eastAsia="宋体" w:cs="宋体"/>
                <w:bCs/>
                <w:sz w:val="22"/>
                <w:szCs w:val="21"/>
              </w:rPr>
            </w:pPr>
            <w:r>
              <w:rPr>
                <w:rFonts w:hint="eastAsia" w:ascii="宋体" w:hAnsi="宋体" w:eastAsia="宋体" w:cs="宋体"/>
                <w:b/>
                <w:sz w:val="22"/>
                <w:szCs w:val="21"/>
              </w:rPr>
              <w:t>下周工作计划</w:t>
            </w:r>
            <w:r>
              <w:rPr>
                <w:rFonts w:hint="eastAsia" w:ascii="宋体" w:hAnsi="宋体" w:eastAsia="宋体" w:cs="宋体"/>
                <w:bCs/>
                <w:sz w:val="22"/>
                <w:szCs w:val="21"/>
              </w:rPr>
              <w:t>（不超过200字）</w:t>
            </w:r>
          </w:p>
        </w:tc>
      </w:tr>
      <w:tr w14:paraId="12B145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11" w:hRule="atLeast"/>
          <w:jc w:val="center"/>
        </w:trPr>
        <w:tc>
          <w:tcPr>
            <w:tcW w:w="9850" w:type="dxa"/>
            <w:vAlign w:val="center"/>
          </w:tcPr>
          <w:p w14:paraId="3B7CA9C5">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（1）</w:t>
            </w:r>
            <w:r>
              <w:rPr>
                <w:rFonts w:ascii="宋体" w:hAnsi="宋体" w:eastAsia="宋体" w:cs="宋体"/>
                <w:bCs/>
                <w:sz w:val="22"/>
                <w:szCs w:val="21"/>
              </w:rPr>
              <w:t>分区潮流计算部分</w:t>
            </w:r>
            <w:r>
              <w:rPr>
                <w:rFonts w:hint="eastAsia" w:ascii="宋体" w:hAnsi="宋体" w:eastAsia="宋体" w:cs="宋体"/>
                <w:bCs/>
                <w:sz w:val="22"/>
                <w:szCs w:val="21"/>
              </w:rPr>
              <w:t>：</w:t>
            </w:r>
            <w:r>
              <w:rPr>
                <w:rFonts w:hint="eastAsia" w:ascii="宋体" w:hAnsi="宋体" w:eastAsia="宋体" w:cs="宋体"/>
                <w:sz w:val="24"/>
                <w:highlight w:val="yellow"/>
              </w:rPr>
              <w:t>针对极端工况下松弛参数动态响应进一步优化，开展多网架结构下的收敛性能对比测试；整理模块测试报告，配合系统级联调缺陷修复。</w:t>
            </w:r>
          </w:p>
          <w:p w14:paraId="3889C5D4">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（2）动态安全分析部分，下周计划在考虑重构情况下进行电力电量平衡分析；基于N-1安全校核理论，分析故障筛选方法，探究节点电压越限发生的机理及演化过程。</w:t>
            </w:r>
          </w:p>
          <w:p w14:paraId="18773900">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（3）多尺度优化部分，</w:t>
            </w:r>
            <w:r>
              <w:rPr>
                <w:rFonts w:ascii="宋体" w:hAnsi="宋体" w:eastAsia="宋体" w:cs="宋体"/>
                <w:bCs/>
                <w:sz w:val="22"/>
                <w:szCs w:val="21"/>
              </w:rPr>
              <w:t>完成潮流优化功能各精细化模块</w:t>
            </w:r>
            <w:bookmarkStart w:id="0" w:name="_GoBack"/>
            <w:bookmarkEnd w:id="0"/>
            <w:r>
              <w:rPr>
                <w:rFonts w:ascii="宋体" w:hAnsi="宋体" w:eastAsia="宋体" w:cs="宋体"/>
                <w:bCs/>
                <w:sz w:val="22"/>
                <w:szCs w:val="21"/>
              </w:rPr>
              <w:t>的逻辑分析，继续开展配微网异质资源聚合调节能力评估方法研究，以及设备信息读取及状态分析功能开发</w:t>
            </w:r>
            <w:r>
              <w:rPr>
                <w:rFonts w:hint="eastAsia" w:ascii="宋体" w:hAnsi="宋体" w:eastAsia="宋体" w:cs="宋体"/>
                <w:bCs/>
                <w:sz w:val="22"/>
                <w:szCs w:val="21"/>
              </w:rPr>
              <w:t>；</w:t>
            </w:r>
          </w:p>
          <w:p w14:paraId="30D26674">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（4）计算分析软件部分，设计接口模块功能与开发步骤，针对各模块提交的研发计划，对各个模块开展讨论与推进。</w:t>
            </w:r>
          </w:p>
        </w:tc>
      </w:tr>
    </w:tbl>
    <w:p w14:paraId="35C37B9E">
      <w:pPr>
        <w:pStyle w:val="2"/>
        <w:spacing w:line="520" w:lineRule="exact"/>
        <w:ind w:firstLine="0" w:firstLineChars="0"/>
      </w:pPr>
    </w:p>
    <w:sectPr>
      <w:footerReference r:id="rId3" w:type="default"/>
      <w:pgSz w:w="11906" w:h="16838"/>
      <w:pgMar w:top="1553" w:right="1633" w:bottom="1553"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CEC69">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B0C65">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CCB0C65">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wNjI3NGQyMzBkOTZhYWFiM2NhODdmNmQ2YTFlYzMifQ=="/>
  </w:docVars>
  <w:rsids>
    <w:rsidRoot w:val="00045397"/>
    <w:rsid w:val="00042594"/>
    <w:rsid w:val="00045397"/>
    <w:rsid w:val="00091D21"/>
    <w:rsid w:val="000C3705"/>
    <w:rsid w:val="001214F1"/>
    <w:rsid w:val="00124549"/>
    <w:rsid w:val="00146219"/>
    <w:rsid w:val="001A6E21"/>
    <w:rsid w:val="001C24FE"/>
    <w:rsid w:val="001D1BAA"/>
    <w:rsid w:val="002423F5"/>
    <w:rsid w:val="002424A0"/>
    <w:rsid w:val="002527CF"/>
    <w:rsid w:val="00262D42"/>
    <w:rsid w:val="00282F78"/>
    <w:rsid w:val="002A2A54"/>
    <w:rsid w:val="002B6A59"/>
    <w:rsid w:val="00307EF8"/>
    <w:rsid w:val="003427FF"/>
    <w:rsid w:val="003636B3"/>
    <w:rsid w:val="00366799"/>
    <w:rsid w:val="00386E04"/>
    <w:rsid w:val="003A0D1A"/>
    <w:rsid w:val="003B0DC2"/>
    <w:rsid w:val="003B5D96"/>
    <w:rsid w:val="003D1DC2"/>
    <w:rsid w:val="004104D4"/>
    <w:rsid w:val="00421064"/>
    <w:rsid w:val="00436421"/>
    <w:rsid w:val="005331B8"/>
    <w:rsid w:val="00582DF5"/>
    <w:rsid w:val="005B2992"/>
    <w:rsid w:val="005D25B0"/>
    <w:rsid w:val="00622770"/>
    <w:rsid w:val="006278FF"/>
    <w:rsid w:val="006433C4"/>
    <w:rsid w:val="006B7B2F"/>
    <w:rsid w:val="007627FB"/>
    <w:rsid w:val="00764D71"/>
    <w:rsid w:val="00771D3E"/>
    <w:rsid w:val="007C27F1"/>
    <w:rsid w:val="007F102A"/>
    <w:rsid w:val="00800C75"/>
    <w:rsid w:val="00826149"/>
    <w:rsid w:val="00875257"/>
    <w:rsid w:val="00885333"/>
    <w:rsid w:val="008A7CCC"/>
    <w:rsid w:val="008A7DCC"/>
    <w:rsid w:val="008C79CB"/>
    <w:rsid w:val="008F4225"/>
    <w:rsid w:val="009047F9"/>
    <w:rsid w:val="00952B32"/>
    <w:rsid w:val="009665A7"/>
    <w:rsid w:val="0096711D"/>
    <w:rsid w:val="00967460"/>
    <w:rsid w:val="009927C7"/>
    <w:rsid w:val="009B579E"/>
    <w:rsid w:val="009E28E1"/>
    <w:rsid w:val="00A13B30"/>
    <w:rsid w:val="00A316DE"/>
    <w:rsid w:val="00AC2937"/>
    <w:rsid w:val="00B2532F"/>
    <w:rsid w:val="00B8440E"/>
    <w:rsid w:val="00B8461A"/>
    <w:rsid w:val="00BF0BC1"/>
    <w:rsid w:val="00BF28B3"/>
    <w:rsid w:val="00BF65E4"/>
    <w:rsid w:val="00C05A78"/>
    <w:rsid w:val="00C3304F"/>
    <w:rsid w:val="00C3338B"/>
    <w:rsid w:val="00C44B29"/>
    <w:rsid w:val="00C81BC7"/>
    <w:rsid w:val="00CB0087"/>
    <w:rsid w:val="00CB0B07"/>
    <w:rsid w:val="00CF5500"/>
    <w:rsid w:val="00CF66A2"/>
    <w:rsid w:val="00D97BDC"/>
    <w:rsid w:val="00DC0E00"/>
    <w:rsid w:val="00EF2261"/>
    <w:rsid w:val="00F406AD"/>
    <w:rsid w:val="00F90202"/>
    <w:rsid w:val="00F915EC"/>
    <w:rsid w:val="00FA4D42"/>
    <w:rsid w:val="01791910"/>
    <w:rsid w:val="022B2C0A"/>
    <w:rsid w:val="03177406"/>
    <w:rsid w:val="035868CE"/>
    <w:rsid w:val="03DF5C61"/>
    <w:rsid w:val="05D45367"/>
    <w:rsid w:val="07553680"/>
    <w:rsid w:val="0AEE2A27"/>
    <w:rsid w:val="0BE1520A"/>
    <w:rsid w:val="0C0467E5"/>
    <w:rsid w:val="0D10137A"/>
    <w:rsid w:val="0D2B24CA"/>
    <w:rsid w:val="0E087688"/>
    <w:rsid w:val="0E813BB2"/>
    <w:rsid w:val="0EE36B00"/>
    <w:rsid w:val="0F0C77EF"/>
    <w:rsid w:val="1203209A"/>
    <w:rsid w:val="12771554"/>
    <w:rsid w:val="156A53A0"/>
    <w:rsid w:val="17057F60"/>
    <w:rsid w:val="18147845"/>
    <w:rsid w:val="18671FC4"/>
    <w:rsid w:val="192B05CB"/>
    <w:rsid w:val="19300A9E"/>
    <w:rsid w:val="1A390C8D"/>
    <w:rsid w:val="1AE6371B"/>
    <w:rsid w:val="1B2D2929"/>
    <w:rsid w:val="1BDD3964"/>
    <w:rsid w:val="1C3A1F70"/>
    <w:rsid w:val="1C844F99"/>
    <w:rsid w:val="1CF06807"/>
    <w:rsid w:val="1D8965DF"/>
    <w:rsid w:val="1DCB36BF"/>
    <w:rsid w:val="1ECD1740"/>
    <w:rsid w:val="1EEC2FCB"/>
    <w:rsid w:val="1EFC37BC"/>
    <w:rsid w:val="1F535C51"/>
    <w:rsid w:val="202E7C6C"/>
    <w:rsid w:val="2095074D"/>
    <w:rsid w:val="22235134"/>
    <w:rsid w:val="22275910"/>
    <w:rsid w:val="23B1497E"/>
    <w:rsid w:val="25822292"/>
    <w:rsid w:val="26EB3E67"/>
    <w:rsid w:val="289C366A"/>
    <w:rsid w:val="2A433D90"/>
    <w:rsid w:val="2D5D05FB"/>
    <w:rsid w:val="2FD31004"/>
    <w:rsid w:val="308E2A16"/>
    <w:rsid w:val="3091782D"/>
    <w:rsid w:val="311A4661"/>
    <w:rsid w:val="31FE0EF2"/>
    <w:rsid w:val="32F95CD6"/>
    <w:rsid w:val="34B8182C"/>
    <w:rsid w:val="350E769E"/>
    <w:rsid w:val="356D0EEB"/>
    <w:rsid w:val="3673521D"/>
    <w:rsid w:val="377B0CF2"/>
    <w:rsid w:val="37C8622A"/>
    <w:rsid w:val="380134EA"/>
    <w:rsid w:val="39174EB9"/>
    <w:rsid w:val="39AC71A4"/>
    <w:rsid w:val="3ADE3097"/>
    <w:rsid w:val="3B6A16E9"/>
    <w:rsid w:val="422F2A71"/>
    <w:rsid w:val="4443582F"/>
    <w:rsid w:val="447824DA"/>
    <w:rsid w:val="46EB197A"/>
    <w:rsid w:val="478B34F9"/>
    <w:rsid w:val="47AE2C54"/>
    <w:rsid w:val="48907682"/>
    <w:rsid w:val="49141B22"/>
    <w:rsid w:val="4A6C480C"/>
    <w:rsid w:val="4A987F8C"/>
    <w:rsid w:val="4B137364"/>
    <w:rsid w:val="4E235B10"/>
    <w:rsid w:val="4E4F64CA"/>
    <w:rsid w:val="4FC57DD6"/>
    <w:rsid w:val="50C47696"/>
    <w:rsid w:val="50D6330E"/>
    <w:rsid w:val="51CC351C"/>
    <w:rsid w:val="5647080A"/>
    <w:rsid w:val="571B1801"/>
    <w:rsid w:val="577F6A9F"/>
    <w:rsid w:val="57830CB2"/>
    <w:rsid w:val="57BE4AFC"/>
    <w:rsid w:val="592B51F6"/>
    <w:rsid w:val="5C773BF5"/>
    <w:rsid w:val="5C8F3053"/>
    <w:rsid w:val="5DF11787"/>
    <w:rsid w:val="60E274DB"/>
    <w:rsid w:val="61550219"/>
    <w:rsid w:val="620B4832"/>
    <w:rsid w:val="634537D2"/>
    <w:rsid w:val="63BC6393"/>
    <w:rsid w:val="647153D0"/>
    <w:rsid w:val="64946C4D"/>
    <w:rsid w:val="65043472"/>
    <w:rsid w:val="65EB6A74"/>
    <w:rsid w:val="67CE2B39"/>
    <w:rsid w:val="695819A3"/>
    <w:rsid w:val="6A2F06E1"/>
    <w:rsid w:val="6A307476"/>
    <w:rsid w:val="6C856C29"/>
    <w:rsid w:val="6D18082A"/>
    <w:rsid w:val="6DE7565E"/>
    <w:rsid w:val="6EA36ACE"/>
    <w:rsid w:val="70FA71EB"/>
    <w:rsid w:val="71A566B9"/>
    <w:rsid w:val="73426189"/>
    <w:rsid w:val="7374028A"/>
    <w:rsid w:val="737951C0"/>
    <w:rsid w:val="7460422C"/>
    <w:rsid w:val="750166C3"/>
    <w:rsid w:val="757765BE"/>
    <w:rsid w:val="77B20746"/>
    <w:rsid w:val="78BC1238"/>
    <w:rsid w:val="78FA7C0B"/>
    <w:rsid w:val="796844C1"/>
    <w:rsid w:val="7A50699C"/>
    <w:rsid w:val="7B353231"/>
    <w:rsid w:val="7D3B4375"/>
    <w:rsid w:val="7E5354AD"/>
    <w:rsid w:val="7F613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Normal Indent"/>
    <w:basedOn w:val="1"/>
    <w:next w:val="1"/>
    <w:qFormat/>
    <w:uiPriority w:val="0"/>
    <w:pPr>
      <w:spacing w:line="560" w:lineRule="exact"/>
      <w:ind w:firstLine="800" w:firstLineChars="200"/>
    </w:pPr>
  </w:style>
  <w:style w:type="paragraph" w:styleId="3">
    <w:name w:val="annotation text"/>
    <w:basedOn w:val="1"/>
    <w:link w:val="18"/>
    <w:qFormat/>
    <w:uiPriority w:val="0"/>
    <w:pPr>
      <w:jc w:val="left"/>
    </w:pPr>
  </w:style>
  <w:style w:type="paragraph" w:styleId="4">
    <w:name w:val="Salutation"/>
    <w:basedOn w:val="1"/>
    <w:next w:val="1"/>
    <w:autoRedefine/>
    <w:qFormat/>
    <w:uiPriority w:val="99"/>
  </w:style>
  <w:style w:type="paragraph" w:styleId="5">
    <w:name w:val="Body Text"/>
    <w:basedOn w:val="1"/>
    <w:autoRedefine/>
    <w:semiHidden/>
    <w:qFormat/>
    <w:uiPriority w:val="0"/>
    <w:rPr>
      <w:rFonts w:ascii="仿宋_GB2312" w:hAnsi="仿宋_GB2312" w:eastAsia="仿宋_GB2312" w:cs="仿宋_GB2312"/>
      <w:sz w:val="31"/>
      <w:szCs w:val="3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autoRedefine/>
    <w:qFormat/>
    <w:uiPriority w:val="0"/>
    <w:pPr>
      <w:spacing w:beforeAutospacing="1" w:afterAutospacing="1"/>
    </w:pPr>
    <w:rPr>
      <w:rFonts w:cs="Times New Roman"/>
      <w:sz w:val="24"/>
    </w:rPr>
  </w:style>
  <w:style w:type="paragraph" w:styleId="9">
    <w:name w:val="annotation subject"/>
    <w:basedOn w:val="3"/>
    <w:next w:val="3"/>
    <w:link w:val="19"/>
    <w:qFormat/>
    <w:uiPriority w:val="0"/>
    <w:rPr>
      <w:b/>
      <w:bCs/>
    </w:rPr>
  </w:style>
  <w:style w:type="table" w:styleId="11">
    <w:name w:val="Table Grid"/>
    <w:basedOn w:val="10"/>
    <w:autoRedefine/>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qFormat/>
    <w:uiPriority w:val="0"/>
    <w:rPr>
      <w:sz w:val="21"/>
      <w:szCs w:val="21"/>
    </w:rPr>
  </w:style>
  <w:style w:type="paragraph" w:styleId="14">
    <w:name w:val="List Paragraph"/>
    <w:basedOn w:val="1"/>
    <w:autoRedefine/>
    <w:qFormat/>
    <w:uiPriority w:val="34"/>
    <w:pPr>
      <w:ind w:firstLine="420" w:firstLineChars="200"/>
    </w:pPr>
  </w:style>
  <w:style w:type="paragraph" w:customStyle="1" w:styleId="15">
    <w:name w:val="Table Text"/>
    <w:basedOn w:val="1"/>
    <w:autoRedefine/>
    <w:semiHidden/>
    <w:qFormat/>
    <w:uiPriority w:val="0"/>
    <w:rPr>
      <w:rFonts w:ascii="宋体" w:hAnsi="宋体" w:eastAsia="宋体" w:cs="宋体"/>
      <w:sz w:val="25"/>
      <w:szCs w:val="25"/>
      <w:lang w:eastAsia="en-US"/>
    </w:rPr>
  </w:style>
  <w:style w:type="table" w:customStyle="1" w:styleId="16">
    <w:name w:val="Table Normal"/>
    <w:autoRedefine/>
    <w:semiHidden/>
    <w:unhideWhenUsed/>
    <w:qFormat/>
    <w:uiPriority w:val="0"/>
    <w:tblPr>
      <w:tblCellMar>
        <w:top w:w="0" w:type="dxa"/>
        <w:left w:w="0" w:type="dxa"/>
        <w:bottom w:w="0" w:type="dxa"/>
        <w:right w:w="0" w:type="dxa"/>
      </w:tblCellMar>
    </w:tblPr>
  </w:style>
  <w:style w:type="paragraph" w:customStyle="1" w:styleId="17">
    <w:name w:val="列表段落1"/>
    <w:basedOn w:val="1"/>
    <w:autoRedefine/>
    <w:qFormat/>
    <w:uiPriority w:val="34"/>
    <w:pPr>
      <w:ind w:firstLine="420" w:firstLineChars="200"/>
    </w:pPr>
  </w:style>
  <w:style w:type="character" w:customStyle="1" w:styleId="18">
    <w:name w:val="批注文字 字符"/>
    <w:basedOn w:val="12"/>
    <w:link w:val="3"/>
    <w:qFormat/>
    <w:uiPriority w:val="0"/>
    <w:rPr>
      <w:rFonts w:asciiTheme="minorHAnsi" w:hAnsiTheme="minorHAnsi" w:eastAsiaTheme="minorEastAsia" w:cstheme="minorBidi"/>
      <w:kern w:val="2"/>
      <w:sz w:val="21"/>
      <w:szCs w:val="24"/>
    </w:rPr>
  </w:style>
  <w:style w:type="character" w:customStyle="1" w:styleId="19">
    <w:name w:val="批注主题 字符"/>
    <w:basedOn w:val="18"/>
    <w:link w:val="9"/>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811dc546-da78-45d3-8cd3-678d764f9023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3C9B150E</paraID>
      <start>10</start>
      <end>11</end>
      <status>unmodified</status>
      <modifiedWord/>
      <trackRevisions>false</trackRevisions>
    </reviewItem>
    <reviewItem>
      <errorID>257c841b-ad41-423f-9da7-a9b9675b4170</errorID>
      <errorWord>、以及</errorWord>
      <group>L1_Punc</group>
      <groupName>标点问题</groupName>
      <ability>L2_Punc</ability>
      <abilityName>标点符号检查</abilityName>
      <candidateList>
        <item>，以及</item>
      </candidateList>
      <explain>连接词前后不宜使用顿号，建议使用逗号。</explain>
      <paraID>341E7A1C</paraID>
      <start>35</start>
      <end>38</end>
      <status>unmodified</status>
      <modifiedWord/>
      <trackRevisions>false</trackRevisions>
    </reviewItem>
    <reviewItem>
      <errorID>79a7ed0b-8dbc-458c-88b5-aece3d71b180</errorID>
      <errorWord>截止</errorWord>
      <group>L1_Word</group>
      <groupName>字词问题</groupName>
      <ability>L2_Typo</ability>
      <abilityName>字词错误</abilityName>
      <candidateList>
        <item>截至</item>
      </candidateList>
      <explain>存在发音相同字词的误用。</explain>
      <paraID>341E7A1C</paraID>
      <start>92</start>
      <end>94</end>
      <status>modified</status>
      <modifiedWord>截至</modifiedWord>
      <trackRevisions>false</trackRevisions>
    </reviewItem>
    <reviewItem>
      <errorID>2124deb9-13f2-4b4d-9fda-29387904138c</errorID>
      <errorWord>由</errorWord>
      <group>L1_Grammar</group>
      <groupName>语法问题</groupName>
      <ability>L2_Order</ability>
      <abilityName>语序不当</abilityName>
      <candidateList>
        <item>下的</item>
      </candidateList>
      <explain>句子可能没有遵循时空、逻辑顺序，或者介词、关联词等位置不当。</explain>
      <paraID>2B254AF6</paraID>
      <start>67</start>
      <end>68</end>
      <status>unmodified</status>
      <modifiedWord/>
      <trackRevisions>false</trackRevisions>
    </reviewItem>
    <reviewItem>
      <errorID>69a45214-4c94-4373-b588-d08d8e9af298</errorID>
      <errorWord>计及</errorWord>
      <group>L1_Word</group>
      <groupName>字词问题</groupName>
      <ability>L2_Typo</ability>
      <abilityName>字词错误</abilityName>
      <candidateList>
        <item>涉及</item>
      </candidateList>
      <explain>〈动〉牵涉到；关联到：案子～好几个人｜这个问题～面很广。</explain>
      <paraID>2DE50D82</paraID>
      <start>39</start>
      <end>41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111B23-4764-41BD-BAE6-A22BB9C72EBC}">
  <ds:schemaRefs/>
</ds:datastoreItem>
</file>

<file path=docProps/app.xml><?xml version="1.0" encoding="utf-8"?>
<Properties xmlns="http://schemas.openxmlformats.org/officeDocument/2006/extended-properties" xmlns:vt="http://schemas.openxmlformats.org/officeDocument/2006/docPropsVTypes">
  <Template>Normal</Template>
  <Pages>1</Pages>
  <Words>786</Words>
  <Characters>809</Characters>
  <Lines>5</Lines>
  <Paragraphs>1</Paragraphs>
  <TotalTime>2</TotalTime>
  <ScaleCrop>false</ScaleCrop>
  <LinksUpToDate>false</LinksUpToDate>
  <CharactersWithSpaces>814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2026-05-09T03:10:00Z</dcterms:created>
  <dc:creator>jyy_yuanb</dc:creator>
  <cp:lastModifiedBy>stayreal</cp:lastModifiedBy>
  <cp:lastPrinted>2025-12-18T02:48:00Z</cp:lastPrinted>
  <dcterms:modified xsi:type="dcterms:W3CDTF">2026-05-14T08:01:44Z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FFBFBEE61ACD4E948112F60A333093F3_13</vt:lpwstr>
  </property>
  <property fmtid="{D5CDD505-2E9C-101B-9397-08002B2CF9AE}" pid="4" name="KSOTemplateDocerSaveRecord">
    <vt:lpwstr>eyJoZGlkIjoiMjAzYjJhMzFkNjBmNGU1MzcyODM1ZWFmZGE0ZWQ3MWQiLCJ1c2VySWQiOiIxMjIwNzc5OTk3In0=</vt:lpwstr>
  </property>
</Properties>
</file>