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D16AB">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7FCB90FC">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3F85FEEB">
      <w:pPr>
        <w:spacing w:line="360" w:lineRule="auto"/>
        <w:jc w:val="left"/>
        <w:rPr>
          <w:rFonts w:ascii="仿宋_GB2312" w:hAnsi="Calibri"/>
          <w:b/>
          <w:sz w:val="28"/>
          <w:szCs w:val="28"/>
        </w:rPr>
      </w:pPr>
      <w:r>
        <w:rPr>
          <w:rFonts w:hint="eastAsia" w:ascii="仿宋_GB2312" w:hAnsi="Calibri"/>
          <w:b/>
          <w:sz w:val="28"/>
          <w:szCs w:val="28"/>
        </w:rPr>
        <w:t>2026年</w:t>
      </w:r>
      <w:r>
        <w:rPr>
          <w:rFonts w:hint="eastAsia" w:ascii="仿宋_GB2312" w:hAnsi="Calibri"/>
          <w:b/>
          <w:sz w:val="28"/>
          <w:szCs w:val="28"/>
          <w:lang w:val="en-US" w:eastAsia="zh-CN"/>
        </w:rPr>
        <w:t>5</w:t>
      </w:r>
      <w:r>
        <w:rPr>
          <w:rFonts w:hint="eastAsia" w:ascii="仿宋_GB2312" w:hAnsi="Calibri"/>
          <w:b/>
          <w:sz w:val="28"/>
          <w:szCs w:val="28"/>
        </w:rPr>
        <w:t>月</w:t>
      </w:r>
      <w:r>
        <w:rPr>
          <w:rFonts w:hint="eastAsia" w:ascii="仿宋_GB2312" w:hAnsi="Calibri"/>
          <w:b/>
          <w:sz w:val="28"/>
          <w:szCs w:val="28"/>
          <w:lang w:val="en-US" w:eastAsia="zh-CN"/>
        </w:rPr>
        <w:t>1</w:t>
      </w:r>
      <w:r>
        <w:rPr>
          <w:rFonts w:hint="eastAsia" w:ascii="仿宋_GB2312" w:hAnsi="Calibri"/>
          <w:b/>
          <w:sz w:val="28"/>
          <w:szCs w:val="28"/>
        </w:rPr>
        <w:t>日-</w:t>
      </w:r>
      <w:r>
        <w:rPr>
          <w:rFonts w:hint="eastAsia" w:ascii="仿宋_GB2312" w:hAnsi="Calibri"/>
          <w:b/>
          <w:sz w:val="28"/>
          <w:szCs w:val="28"/>
          <w:lang w:val="en-US" w:eastAsia="zh-CN"/>
        </w:rPr>
        <w:t>5</w:t>
      </w:r>
      <w:r>
        <w:rPr>
          <w:rFonts w:hint="eastAsia" w:ascii="仿宋_GB2312" w:hAnsi="Calibri"/>
          <w:b/>
          <w:sz w:val="28"/>
          <w:szCs w:val="28"/>
        </w:rPr>
        <w:t>月</w:t>
      </w:r>
      <w:r>
        <w:rPr>
          <w:rFonts w:hint="eastAsia" w:ascii="仿宋_GB2312" w:hAnsi="Calibri"/>
          <w:b/>
          <w:sz w:val="28"/>
          <w:szCs w:val="28"/>
          <w:lang w:val="en-US" w:eastAsia="zh-CN"/>
        </w:rPr>
        <w:t>7</w:t>
      </w:r>
      <w:r>
        <w:rPr>
          <w:rFonts w:hint="eastAsia" w:ascii="仿宋_GB2312" w:hAnsi="Calibri"/>
          <w:b/>
          <w:sz w:val="28"/>
          <w:szCs w:val="28"/>
        </w:rPr>
        <w:t>日项目执行情况简报</w:t>
      </w:r>
    </w:p>
    <w:tbl>
      <w:tblPr>
        <w:tblStyle w:val="10"/>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6E7AB0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12916274">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7FE278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64" w:hRule="atLeast"/>
          <w:jc w:val="center"/>
        </w:trPr>
        <w:tc>
          <w:tcPr>
            <w:tcW w:w="9850" w:type="dxa"/>
            <w:vAlign w:val="center"/>
          </w:tcPr>
          <w:p w14:paraId="73E0EFDE">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本周重点开展了分区潮流计算、动态安全分析以及多时间尺度潮流优化三方面技术攻关及模块开发工作。截至目前主配微协同计算分析软件完成了基础版，具备潮流计算等基础功能。</w:t>
            </w:r>
          </w:p>
          <w:p w14:paraId="175F1E26">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（1）</w:t>
            </w:r>
            <w:r>
              <w:rPr>
                <w:rFonts w:ascii="宋体" w:hAnsi="宋体" w:eastAsia="宋体" w:cs="宋体"/>
                <w:bCs/>
                <w:sz w:val="22"/>
                <w:szCs w:val="22"/>
                <w:highlight w:val="yellow"/>
              </w:rPr>
              <w:t>分区潮流计算部分</w:t>
            </w:r>
            <w:r>
              <w:rPr>
                <w:rFonts w:hint="eastAsia" w:ascii="宋体" w:hAnsi="宋体" w:eastAsia="宋体" w:cs="宋体"/>
                <w:bCs/>
                <w:sz w:val="22"/>
                <w:szCs w:val="22"/>
                <w:highlight w:val="yellow"/>
              </w:rPr>
              <w:t>：</w:t>
            </w:r>
            <w:r>
              <w:rPr>
                <w:rFonts w:hint="eastAsia" w:ascii="宋体" w:hAnsi="宋体" w:eastAsia="宋体" w:cs="宋体"/>
                <w:sz w:val="22"/>
                <w:szCs w:val="22"/>
                <w:highlight w:val="yellow"/>
              </w:rPr>
              <w:t>完成分区潮流模块与动态安全分析、多尺度优化模块的联合调试，解决边界数据偶发不对齐问题；测试极端拓扑突变工况下松弛参数动态补偿策略的适应性，记录不同网架结构的收敛参数区间；整理性能测试数据，完成代码审查准备。</w:t>
            </w:r>
          </w:p>
          <w:p w14:paraId="37144D14">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2）动态安全分析部分：对上周所建立的可调资源域进行了初步缩减，基于Nataf变换和Cholesky分解，分析分布式电源相关性，将出力概率分布转换为独立变量，实现了节点电压概率特征值求解精度的提高；针对于现有计算时效性不足的问题，开展了基于MATLAB的多线程并行计算程序代码开发，以提高计算效率，适配在线动态安全分析的实时性要求。</w:t>
            </w:r>
          </w:p>
          <w:p w14:paraId="20DDD7BA">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（3）多尺度优化部分，</w:t>
            </w:r>
            <w:r>
              <w:rPr>
                <w:rFonts w:hint="eastAsia" w:ascii="宋体" w:hAnsi="宋体" w:eastAsia="宋体" w:cs="宋体"/>
                <w:bCs/>
                <w:sz w:val="22"/>
                <w:szCs w:val="21"/>
              </w:rPr>
              <w:t>完成了计及电网安全约束的多类型资源调节裕度建模方法研究，开展了消除潮流过载的主配微电网潮流优化调节功能研发路线设计</w:t>
            </w:r>
            <w:r>
              <w:rPr>
                <w:rFonts w:hint="eastAsia" w:ascii="宋体" w:hAnsi="宋体" w:eastAsia="宋体" w:cs="宋体"/>
                <w:bCs/>
                <w:sz w:val="22"/>
                <w:szCs w:val="22"/>
              </w:rPr>
              <w:t>。</w:t>
            </w:r>
          </w:p>
          <w:p w14:paraId="79A9BDC7">
            <w:pPr>
              <w:spacing w:line="380" w:lineRule="exact"/>
              <w:ind w:firstLine="440" w:firstLineChars="200"/>
            </w:pPr>
            <w:r>
              <w:rPr>
                <w:rFonts w:hint="eastAsia" w:ascii="宋体" w:hAnsi="宋体" w:eastAsia="宋体" w:cs="宋体"/>
                <w:bCs/>
                <w:sz w:val="22"/>
                <w:szCs w:val="22"/>
              </w:rPr>
              <w:t>（4）计算分析软件部分，。</w:t>
            </w:r>
          </w:p>
        </w:tc>
      </w:tr>
      <w:tr w14:paraId="7EF4CC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2E43ED56">
            <w:pPr>
              <w:spacing w:line="400" w:lineRule="exact"/>
              <w:rPr>
                <w:rFonts w:hint="eastAsia" w:ascii="宋体" w:hAnsi="宋体" w:eastAsia="宋体" w:cs="宋体"/>
                <w:bCs/>
                <w:sz w:val="22"/>
                <w:szCs w:val="21"/>
              </w:rPr>
            </w:pPr>
            <w:r>
              <w:rPr>
                <w:rFonts w:hint="eastAsia" w:ascii="宋体" w:hAnsi="宋体" w:eastAsia="宋体" w:cs="宋体"/>
                <w:b/>
                <w:sz w:val="22"/>
                <w:szCs w:val="21"/>
              </w:rPr>
              <w:t>存在问题及解决措施</w:t>
            </w:r>
            <w:r>
              <w:rPr>
                <w:rFonts w:hint="eastAsia" w:ascii="宋体" w:hAnsi="宋体" w:eastAsia="宋体" w:cs="宋体"/>
                <w:bCs/>
                <w:sz w:val="22"/>
                <w:szCs w:val="21"/>
              </w:rPr>
              <w:t>（不超过200字）</w:t>
            </w:r>
          </w:p>
        </w:tc>
      </w:tr>
      <w:tr w14:paraId="616277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55" w:hRule="atLeast"/>
          <w:jc w:val="center"/>
        </w:trPr>
        <w:tc>
          <w:tcPr>
            <w:tcW w:w="9850" w:type="dxa"/>
            <w:vAlign w:val="center"/>
          </w:tcPr>
          <w:p w14:paraId="1055C5DC">
            <w:pPr>
              <w:spacing w:line="380" w:lineRule="exact"/>
              <w:rPr>
                <w:rFonts w:hint="eastAsia" w:ascii="宋体" w:hAnsi="宋体" w:eastAsia="宋体" w:cs="宋体"/>
                <w:bCs/>
                <w:sz w:val="22"/>
                <w:szCs w:val="21"/>
              </w:rPr>
            </w:pPr>
            <w:r>
              <w:rPr>
                <w:rFonts w:hint="eastAsia" w:ascii="宋体" w:hAnsi="宋体" w:eastAsia="宋体" w:cs="宋体"/>
                <w:bCs/>
                <w:sz w:val="22"/>
                <w:szCs w:val="21"/>
              </w:rPr>
              <w:t>问题描述：尽快推进软件测试工具部署。</w:t>
            </w:r>
          </w:p>
          <w:p w14:paraId="45943282">
            <w:pPr>
              <w:spacing w:line="380" w:lineRule="exact"/>
              <w:rPr>
                <w:rFonts w:hint="eastAsia" w:ascii="宋体" w:hAnsi="宋体" w:eastAsia="宋体" w:cs="宋体"/>
                <w:bCs/>
                <w:sz w:val="22"/>
                <w:szCs w:val="21"/>
              </w:rPr>
            </w:pPr>
            <w:r>
              <w:rPr>
                <w:rFonts w:hint="eastAsia" w:ascii="宋体" w:hAnsi="宋体" w:eastAsia="宋体" w:cs="宋体"/>
                <w:bCs/>
                <w:sz w:val="22"/>
                <w:szCs w:val="21"/>
              </w:rPr>
              <w:t>落实责任人：</w:t>
            </w:r>
          </w:p>
        </w:tc>
      </w:tr>
      <w:tr w14:paraId="5DFABE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199AAD65">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695727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11" w:hRule="atLeast"/>
          <w:jc w:val="center"/>
        </w:trPr>
        <w:tc>
          <w:tcPr>
            <w:tcW w:w="9850" w:type="dxa"/>
            <w:vAlign w:val="center"/>
          </w:tcPr>
          <w:p w14:paraId="77779B43">
            <w:pPr>
              <w:spacing w:line="380" w:lineRule="exact"/>
              <w:ind w:firstLine="440" w:firstLineChars="200"/>
              <w:rPr>
                <w:rFonts w:hint="eastAsia" w:ascii="宋体" w:hAnsi="宋体" w:eastAsia="宋体" w:cs="宋体"/>
                <w:bCs/>
                <w:sz w:val="22"/>
                <w:szCs w:val="21"/>
                <w:highlight w:val="yellow"/>
              </w:rPr>
            </w:pPr>
            <w:r>
              <w:rPr>
                <w:rFonts w:hint="eastAsia" w:ascii="宋体" w:hAnsi="宋体" w:eastAsia="宋体" w:cs="宋体"/>
                <w:bCs/>
                <w:sz w:val="22"/>
                <w:szCs w:val="21"/>
                <w:highlight w:val="yellow"/>
              </w:rPr>
              <w:t>（1）</w:t>
            </w:r>
            <w:r>
              <w:rPr>
                <w:rFonts w:ascii="宋体" w:hAnsi="宋体" w:eastAsia="宋体" w:cs="宋体"/>
                <w:bCs/>
                <w:sz w:val="22"/>
                <w:szCs w:val="21"/>
                <w:highlight w:val="yellow"/>
              </w:rPr>
              <w:t>分区潮流计算部分</w:t>
            </w:r>
            <w:r>
              <w:rPr>
                <w:rFonts w:hint="eastAsia" w:ascii="宋体" w:hAnsi="宋体" w:eastAsia="宋体" w:cs="宋体"/>
                <w:bCs/>
                <w:sz w:val="22"/>
                <w:szCs w:val="21"/>
                <w:highlight w:val="yellow"/>
              </w:rPr>
              <w:t>：</w:t>
            </w:r>
            <w:r>
              <w:rPr>
                <w:rFonts w:hint="eastAsia" w:ascii="宋体" w:hAnsi="宋体" w:eastAsia="宋体" w:cs="宋体"/>
                <w:sz w:val="24"/>
                <w:highlight w:val="yellow"/>
              </w:rPr>
              <w:t>继续配合团队推进整软件集成测试，优化跨模块数据交互的稳定性；针对长时序仿真场景进一步压测内存复用策略，收集性能指标；完善分区解耦模块的代码注释，配合白盒审查。</w:t>
            </w:r>
          </w:p>
          <w:p w14:paraId="428C47C9">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（2）动态安全分析部分，对加入网络潮流</w:t>
            </w:r>
            <w:bookmarkStart w:id="0" w:name="_GoBack"/>
            <w:bookmarkEnd w:id="0"/>
            <w:r>
              <w:rPr>
                <w:rFonts w:hint="eastAsia" w:ascii="宋体" w:hAnsi="宋体" w:eastAsia="宋体" w:cs="宋体"/>
                <w:bCs/>
                <w:sz w:val="22"/>
                <w:szCs w:val="21"/>
              </w:rPr>
              <w:t>约束、电压约束、线路功率约束后缩减的可调资源域进一步完善修改；完善MATLAB程序的代码，解决代码中存在的漏洞和错误，实现节点电压概率特征值求解速度的提升；继续开展MATLAB与BPA交互及多线程并行计算的代码开发与调试工作，优化程序交互逻辑与并行计算效率，保障仿真计算稳定运行。。</w:t>
            </w:r>
          </w:p>
          <w:p w14:paraId="1AAAB9F8">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（3）多尺度优化部分，完善消除潮流过载的主配微电网潮流优化调节功能研发路线设计，研究潮流优化功能各精细化模块的逻辑及研发内容。</w:t>
            </w:r>
          </w:p>
          <w:p w14:paraId="22AD31AB">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（4）计算分许软件部分，。</w:t>
            </w:r>
          </w:p>
        </w:tc>
      </w:tr>
    </w:tbl>
    <w:p w14:paraId="4F819422">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C628">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A7460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AA7460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wNjI3NGQyMzBkOTZhYWFiM2NhODdmNmQ2YTFlYzMifQ=="/>
  </w:docVars>
  <w:rsids>
    <w:rsidRoot w:val="00045397"/>
    <w:rsid w:val="00042594"/>
    <w:rsid w:val="00045397"/>
    <w:rsid w:val="00091D21"/>
    <w:rsid w:val="000C3705"/>
    <w:rsid w:val="001214F1"/>
    <w:rsid w:val="00124549"/>
    <w:rsid w:val="00146219"/>
    <w:rsid w:val="001A6E21"/>
    <w:rsid w:val="001C24FE"/>
    <w:rsid w:val="001D1BAA"/>
    <w:rsid w:val="002423F5"/>
    <w:rsid w:val="002424A0"/>
    <w:rsid w:val="002527CF"/>
    <w:rsid w:val="00262D42"/>
    <w:rsid w:val="00282F78"/>
    <w:rsid w:val="002A2A54"/>
    <w:rsid w:val="002B6A59"/>
    <w:rsid w:val="003427FF"/>
    <w:rsid w:val="003636B3"/>
    <w:rsid w:val="00366799"/>
    <w:rsid w:val="00386E04"/>
    <w:rsid w:val="003A0D1A"/>
    <w:rsid w:val="003B0DC2"/>
    <w:rsid w:val="003B5D96"/>
    <w:rsid w:val="003D1DC2"/>
    <w:rsid w:val="004104D4"/>
    <w:rsid w:val="00421064"/>
    <w:rsid w:val="00436421"/>
    <w:rsid w:val="005331B8"/>
    <w:rsid w:val="00582DF5"/>
    <w:rsid w:val="005B2992"/>
    <w:rsid w:val="005D25B0"/>
    <w:rsid w:val="00622770"/>
    <w:rsid w:val="006278FF"/>
    <w:rsid w:val="006433C4"/>
    <w:rsid w:val="006B7B2F"/>
    <w:rsid w:val="007627FB"/>
    <w:rsid w:val="00764D71"/>
    <w:rsid w:val="00771D3E"/>
    <w:rsid w:val="007C27F1"/>
    <w:rsid w:val="007F102A"/>
    <w:rsid w:val="00800C75"/>
    <w:rsid w:val="00826149"/>
    <w:rsid w:val="00875257"/>
    <w:rsid w:val="00885333"/>
    <w:rsid w:val="008A7CCC"/>
    <w:rsid w:val="008A7DCC"/>
    <w:rsid w:val="008C79CB"/>
    <w:rsid w:val="008F4225"/>
    <w:rsid w:val="009047F9"/>
    <w:rsid w:val="00952B32"/>
    <w:rsid w:val="009665A7"/>
    <w:rsid w:val="0096711D"/>
    <w:rsid w:val="009927C7"/>
    <w:rsid w:val="009B579E"/>
    <w:rsid w:val="009E28E1"/>
    <w:rsid w:val="00A13B30"/>
    <w:rsid w:val="00A316DE"/>
    <w:rsid w:val="00AC2937"/>
    <w:rsid w:val="00B2532F"/>
    <w:rsid w:val="00B8440E"/>
    <w:rsid w:val="00B8461A"/>
    <w:rsid w:val="00BF0BC1"/>
    <w:rsid w:val="00BF28B3"/>
    <w:rsid w:val="00BF65E4"/>
    <w:rsid w:val="00C3304F"/>
    <w:rsid w:val="00C44B29"/>
    <w:rsid w:val="00C81BC7"/>
    <w:rsid w:val="00CB0087"/>
    <w:rsid w:val="00CB0B07"/>
    <w:rsid w:val="00CF5500"/>
    <w:rsid w:val="00CF66A2"/>
    <w:rsid w:val="00D97BDC"/>
    <w:rsid w:val="00DC0E00"/>
    <w:rsid w:val="00EF2261"/>
    <w:rsid w:val="00F406AD"/>
    <w:rsid w:val="00F90202"/>
    <w:rsid w:val="00F915EC"/>
    <w:rsid w:val="00FA4D42"/>
    <w:rsid w:val="01791910"/>
    <w:rsid w:val="022B2C0A"/>
    <w:rsid w:val="03177406"/>
    <w:rsid w:val="035868CE"/>
    <w:rsid w:val="03DF5C61"/>
    <w:rsid w:val="05D45367"/>
    <w:rsid w:val="07553680"/>
    <w:rsid w:val="0AEE2A27"/>
    <w:rsid w:val="0BE1520A"/>
    <w:rsid w:val="0C0467E5"/>
    <w:rsid w:val="0D10137A"/>
    <w:rsid w:val="0D2B24CA"/>
    <w:rsid w:val="0E087688"/>
    <w:rsid w:val="0E813BB2"/>
    <w:rsid w:val="0EE36B00"/>
    <w:rsid w:val="0F0C77EF"/>
    <w:rsid w:val="1203209A"/>
    <w:rsid w:val="12771554"/>
    <w:rsid w:val="156A53A0"/>
    <w:rsid w:val="17057F60"/>
    <w:rsid w:val="18147845"/>
    <w:rsid w:val="18671FC4"/>
    <w:rsid w:val="192B05CB"/>
    <w:rsid w:val="19300A9E"/>
    <w:rsid w:val="1A390C8D"/>
    <w:rsid w:val="1AE6371B"/>
    <w:rsid w:val="1B2D2929"/>
    <w:rsid w:val="1BDD3964"/>
    <w:rsid w:val="1C3A1F70"/>
    <w:rsid w:val="1C844F99"/>
    <w:rsid w:val="1D8965DF"/>
    <w:rsid w:val="1DCB36BF"/>
    <w:rsid w:val="1ECD1740"/>
    <w:rsid w:val="1EEC2FCB"/>
    <w:rsid w:val="1EFC37BC"/>
    <w:rsid w:val="1F535C51"/>
    <w:rsid w:val="202E7C6C"/>
    <w:rsid w:val="2095074D"/>
    <w:rsid w:val="22235134"/>
    <w:rsid w:val="22275910"/>
    <w:rsid w:val="23B1497E"/>
    <w:rsid w:val="25822292"/>
    <w:rsid w:val="26EB3E67"/>
    <w:rsid w:val="289C366A"/>
    <w:rsid w:val="2A433D90"/>
    <w:rsid w:val="2D5D05FB"/>
    <w:rsid w:val="2FD31004"/>
    <w:rsid w:val="308E2A16"/>
    <w:rsid w:val="3091782D"/>
    <w:rsid w:val="311A4661"/>
    <w:rsid w:val="31FE0EF2"/>
    <w:rsid w:val="32F95CD6"/>
    <w:rsid w:val="34B8182C"/>
    <w:rsid w:val="350E769E"/>
    <w:rsid w:val="356D0EEB"/>
    <w:rsid w:val="3673521D"/>
    <w:rsid w:val="377B0CF2"/>
    <w:rsid w:val="37C8622A"/>
    <w:rsid w:val="380134EA"/>
    <w:rsid w:val="39174EB9"/>
    <w:rsid w:val="39AC71A4"/>
    <w:rsid w:val="3ADE3097"/>
    <w:rsid w:val="3B6A16E9"/>
    <w:rsid w:val="422F2A71"/>
    <w:rsid w:val="4443582F"/>
    <w:rsid w:val="447824DA"/>
    <w:rsid w:val="46EB197A"/>
    <w:rsid w:val="478B34F9"/>
    <w:rsid w:val="47AE2C54"/>
    <w:rsid w:val="48907682"/>
    <w:rsid w:val="49141B22"/>
    <w:rsid w:val="4A6C480C"/>
    <w:rsid w:val="4A987F8C"/>
    <w:rsid w:val="4B137364"/>
    <w:rsid w:val="4E235B10"/>
    <w:rsid w:val="4E4F64CA"/>
    <w:rsid w:val="4FC57DD6"/>
    <w:rsid w:val="50C47696"/>
    <w:rsid w:val="50D6330E"/>
    <w:rsid w:val="51CC351C"/>
    <w:rsid w:val="5647080A"/>
    <w:rsid w:val="571B1801"/>
    <w:rsid w:val="577F6A9F"/>
    <w:rsid w:val="57830CB2"/>
    <w:rsid w:val="57BE4AFC"/>
    <w:rsid w:val="592B51F6"/>
    <w:rsid w:val="5C773BF5"/>
    <w:rsid w:val="5C8F3053"/>
    <w:rsid w:val="5DF11787"/>
    <w:rsid w:val="60E274DB"/>
    <w:rsid w:val="61550219"/>
    <w:rsid w:val="620B4832"/>
    <w:rsid w:val="634537D2"/>
    <w:rsid w:val="63BC6393"/>
    <w:rsid w:val="647153D0"/>
    <w:rsid w:val="64946C4D"/>
    <w:rsid w:val="65043472"/>
    <w:rsid w:val="65EB6A74"/>
    <w:rsid w:val="6A2F06E1"/>
    <w:rsid w:val="6A307476"/>
    <w:rsid w:val="6C856C29"/>
    <w:rsid w:val="6D18082A"/>
    <w:rsid w:val="6DE7565E"/>
    <w:rsid w:val="6EA36ACE"/>
    <w:rsid w:val="70FA71EB"/>
    <w:rsid w:val="71A566B9"/>
    <w:rsid w:val="73426189"/>
    <w:rsid w:val="7374028A"/>
    <w:rsid w:val="737951C0"/>
    <w:rsid w:val="7460422C"/>
    <w:rsid w:val="750166C3"/>
    <w:rsid w:val="757765BE"/>
    <w:rsid w:val="77B20746"/>
    <w:rsid w:val="78BC1238"/>
    <w:rsid w:val="78FA7C0B"/>
    <w:rsid w:val="796844C1"/>
    <w:rsid w:val="7A50699C"/>
    <w:rsid w:val="7B353231"/>
    <w:rsid w:val="7D3B4375"/>
    <w:rsid w:val="7E5354AD"/>
    <w:rsid w:val="7F613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annotation text"/>
    <w:basedOn w:val="1"/>
    <w:link w:val="18"/>
    <w:qFormat/>
    <w:uiPriority w:val="0"/>
    <w:pPr>
      <w:jc w:val="left"/>
    </w:pPr>
  </w:style>
  <w:style w:type="paragraph" w:styleId="4">
    <w:name w:val="Salutation"/>
    <w:basedOn w:val="1"/>
    <w:next w:val="1"/>
    <w:autoRedefine/>
    <w:qFormat/>
    <w:uiPriority w:val="99"/>
  </w:style>
  <w:style w:type="paragraph" w:styleId="5">
    <w:name w:val="Body Text"/>
    <w:basedOn w:val="1"/>
    <w:autoRedefine/>
    <w:semiHidden/>
    <w:qFormat/>
    <w:uiPriority w:val="0"/>
    <w:rPr>
      <w:rFonts w:ascii="仿宋_GB2312" w:hAnsi="仿宋_GB2312" w:eastAsia="仿宋_GB2312" w:cs="仿宋_GB2312"/>
      <w:sz w:val="31"/>
      <w:szCs w:val="3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autoRedefine/>
    <w:qFormat/>
    <w:uiPriority w:val="0"/>
    <w:pPr>
      <w:spacing w:beforeAutospacing="1" w:afterAutospacing="1"/>
    </w:pPr>
    <w:rPr>
      <w:rFonts w:cs="Times New Roman"/>
      <w:sz w:val="24"/>
    </w:rPr>
  </w:style>
  <w:style w:type="paragraph" w:styleId="9">
    <w:name w:val="annotation subject"/>
    <w:basedOn w:val="3"/>
    <w:next w:val="3"/>
    <w:link w:val="19"/>
    <w:qFormat/>
    <w:uiPriority w:val="0"/>
    <w:rPr>
      <w:b/>
      <w:bCs/>
    </w:rPr>
  </w:style>
  <w:style w:type="table" w:styleId="11">
    <w:name w:val="Table Grid"/>
    <w:basedOn w:val="10"/>
    <w:autoRedefine/>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qFormat/>
    <w:uiPriority w:val="0"/>
    <w:rPr>
      <w:sz w:val="21"/>
      <w:szCs w:val="21"/>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宋体" w:hAnsi="宋体" w:eastAsia="宋体" w:cs="宋体"/>
      <w:sz w:val="25"/>
      <w:szCs w:val="25"/>
      <w:lang w:eastAsia="en-US"/>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列表段落1"/>
    <w:basedOn w:val="1"/>
    <w:autoRedefine/>
    <w:qFormat/>
    <w:uiPriority w:val="34"/>
    <w:pPr>
      <w:ind w:firstLine="420" w:firstLineChars="200"/>
    </w:pPr>
  </w:style>
  <w:style w:type="character" w:customStyle="1" w:styleId="18">
    <w:name w:val="批注文字 字符"/>
    <w:basedOn w:val="12"/>
    <w:link w:val="3"/>
    <w:qFormat/>
    <w:uiPriority w:val="0"/>
    <w:rPr>
      <w:rFonts w:asciiTheme="minorHAnsi" w:hAnsiTheme="minorHAnsi" w:eastAsiaTheme="minorEastAsia" w:cstheme="minorBidi"/>
      <w:kern w:val="2"/>
      <w:sz w:val="21"/>
      <w:szCs w:val="24"/>
    </w:rPr>
  </w:style>
  <w:style w:type="character" w:customStyle="1" w:styleId="19">
    <w:name w:val="批注主题 字符"/>
    <w:basedOn w:val="18"/>
    <w:link w:val="9"/>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811dc546-da78-45d3-8cd3-678d764f9023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3C9B150E</paraID>
      <start>10</start>
      <end>11</end>
      <status>unmodified</status>
      <modifiedWord/>
      <trackRevisions>false</trackRevisions>
    </reviewItem>
    <reviewItem>
      <errorID>257c841b-ad41-423f-9da7-a9b9675b4170</errorID>
      <errorWord>、以及</errorWord>
      <group>L1_Punc</group>
      <groupName>标点问题</groupName>
      <ability>L2_Punc</ability>
      <abilityName>标点符号检查</abilityName>
      <candidateList>
        <item>，以及</item>
      </candidateList>
      <explain>连接词前后不宜使用顿号，建议使用逗号。</explain>
      <paraID>341E7A1C</paraID>
      <start>35</start>
      <end>38</end>
      <status>unmodified</status>
      <modifiedWord/>
      <trackRevisions>false</trackRevisions>
    </reviewItem>
    <reviewItem>
      <errorID>79a7ed0b-8dbc-458c-88b5-aece3d71b180</errorID>
      <errorWord>截止</errorWord>
      <group>L1_Word</group>
      <groupName>字词问题</groupName>
      <ability>L2_Typo</ability>
      <abilityName>字词错误</abilityName>
      <candidateList>
        <item>截至</item>
      </candidateList>
      <explain>存在发音相同字词的误用。</explain>
      <paraID>341E7A1C</paraID>
      <start>92</start>
      <end>94</end>
      <status>modified</status>
      <modifiedWord>截至</modifiedWord>
      <trackRevisions>false</trackRevisions>
    </reviewItem>
    <reviewItem>
      <errorID>2124deb9-13f2-4b4d-9fda-29387904138c</errorID>
      <errorWord>由</errorWord>
      <group>L1_Grammar</group>
      <groupName>语法问题</groupName>
      <ability>L2_Order</ability>
      <abilityName>语序不当</abilityName>
      <candidateList>
        <item>下的</item>
      </candidateList>
      <explain>句子可能没有遵循时空、逻辑顺序，或者介词、关联词等位置不当。</explain>
      <paraID>2B254AF6</paraID>
      <start>67</start>
      <end>68</end>
      <status>unmodified</status>
      <modifiedWord/>
      <trackRevisions>false</trackRevisions>
    </reviewItem>
    <reviewItem>
      <errorID>69a45214-4c94-4373-b588-d08d8e9af298</errorID>
      <errorWord>计及</errorWord>
      <group>L1_Word</group>
      <groupName>字词问题</groupName>
      <ability>L2_Typo</ability>
      <abilityName>字词错误</abilityName>
      <candidateList>
        <item>涉及</item>
      </candidateList>
      <explain>〈动〉牵涉到；关联到：案子～好几个人｜这个问题～面很广。</explain>
      <paraID>2DE50D82</paraID>
      <start>39</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111B23-4764-41BD-BAE6-A22BB9C72EBC}">
  <ds:schemaRefs/>
</ds:datastoreItem>
</file>

<file path=docProps/app.xml><?xml version="1.0" encoding="utf-8"?>
<Properties xmlns="http://schemas.openxmlformats.org/officeDocument/2006/extended-properties" xmlns:vt="http://schemas.openxmlformats.org/officeDocument/2006/docPropsVTypes">
  <Template>Normal</Template>
  <Pages>1</Pages>
  <Words>882</Words>
  <Characters>925</Characters>
  <Lines>6</Lines>
  <Paragraphs>1</Paragraphs>
  <TotalTime>10</TotalTime>
  <ScaleCrop>false</ScaleCrop>
  <LinksUpToDate>false</LinksUpToDate>
  <CharactersWithSpaces>929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2026-04-17T02:32:00Z</dcterms:created>
  <dc:creator>jyy_yuanb</dc:creator>
  <cp:lastModifiedBy>stayreal</cp:lastModifiedBy>
  <cp:lastPrinted>2025-12-18T02:48:00Z</cp:lastPrinted>
  <dcterms:modified xsi:type="dcterms:W3CDTF">2026-05-09T02:25:07Z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24E49ED88A434C1195A166AD98F6C3B3_13</vt:lpwstr>
  </property>
  <property fmtid="{D5CDD505-2E9C-101B-9397-08002B2CF9AE}" pid="4" name="KSOTemplateDocerSaveRecord">
    <vt:lpwstr>eyJoZGlkIjoiMjAzYjJhMzFkNjBmNGU1MzcyODM1ZWFmZGE0ZWQ3MWQiLCJ1c2VySWQiOiIxMjIwNzc5OTk3In0=</vt:lpwstr>
  </property>
</Properties>
</file>