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原始数据集与转换模型</w:t>
        <w:br/>
        <w:t>复算核查报告</w:t>
      </w:r>
    </w:p>
    <w:p>
      <w:pPr>
        <w:pStyle w:val="Subtitle"/>
      </w:pPr>
      <w:r>
        <w:t>新旧文件核对 / 独立牛顿复算 / 负载率口径 / BPA对照边界</w:t>
      </w:r>
    </w:p>
    <w:p>
      <w:r>
        <w:rPr>
          <w:rFonts w:ascii="Noto Serif CJK SC" w:hAnsi="Noto Serif CJK SC" w:eastAsia="Noto Serif CJK SC"/>
        </w:rPr>
        <w:t>核查日期：2026-10-18。对象：raw_dataset/示范区算例.zip 解压的原始文件。本文为既有数据与模型质量核查报告的补充；未修改原始文件、正式运行模型及网页。</w:t>
      </w:r>
    </w:p>
    <w:p>
      <w:pPr>
        <w:pStyle w:val="Heading1"/>
      </w:pPr>
      <w:r>
        <w:t>一、结论与证据边界</w:t>
      </w:r>
    </w:p>
    <w:p>
      <w:r>
        <w:rPr>
          <w:rFonts w:ascii="Noto Serif CJK SC" w:hAnsi="Noto Serif CJK SC" w:eastAsia="Noto Serif CJK SC"/>
        </w:rPr>
        <w:t>本次已从新提供的压缩包解压原始文件，重新转换到独立诊断目录，并另外用独立解析器直接读取原始DAT、组装导纳矩阵、运行极坐标牛顿法。当前所解释模型的复算不支持“变压器负载率最高只有200%”；原问题GXVS2→GXVY2在20点仍为489.26%。</w:t>
      </w:r>
    </w:p>
    <w:p>
      <w:r>
        <w:rPr>
          <w:rFonts w:ascii="Noto Serif CJK SC" w:hAnsi="Noto Serif CJK SC" w:eastAsia="Noto Serif CJK SC"/>
        </w:rPr>
        <w:t>两份新DAT与之前使用的原始DAT逐字节一致。重新转换得到的全部已比较元件参数表也与旧转换模型一致，因此没有发现换用这次原文件即可消除异常的证据。但同一模型的两套实现一致，不构成PSD-BPA软件结果的交叉验证，不能因此排除共同的BPA语义解释偏差，更不能认定现场设备真实过载。</w:t>
      </w:r>
    </w:p>
    <w:p>
      <w:r>
        <w:rPr>
          <w:rFonts w:ascii="Noto Serif CJK SC" w:hAnsi="Noto Serif CJK SC" w:eastAsia="Noto Serif CJK SC"/>
        </w:rPr>
        <w:t>本机没有执行PSD-BPA，也没有收到朋友的BPA潮流结果文件。本报告不以独立牛顿法冒充BPA运行。</w:t>
      </w:r>
    </w:p>
    <w:p>
      <w:pPr>
        <w:pStyle w:val="Heading1"/>
      </w:pPr>
      <w:r>
        <w:t>二、新旧数据与转换参数的比较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文件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新旧文件比较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13点sim2合并anony.dat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SHA-256完全一致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同一输入文件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20点sim2合并anony.dat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SHA-256完全一致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同一输入文件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18份馈线XLS及1份目录XLS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所有工作表单元格值一致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未发现数值数据变化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其中DD线、ZF线及目录XLS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文件字节不同，单元格值一致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不能据此认为运行参数改变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两个断面分别对比bus、line、trafo、impedance、load、sgen、gen、ext_grid、shunt、switch、storage共11张参数表，均一致（数值比较容差1e-12）。比较包含现有容量、阻抗、分接参数、负荷、发电及电压设定，不是只比较元件数量。</w:t>
      </w:r>
    </w:p>
    <w:p>
      <w:r>
        <w:rPr>
          <w:rFonts w:ascii="Noto Serif CJK SC" w:hAnsi="Noto Serif CJK SC" w:eastAsia="Noto Serif CJK SC"/>
        </w:rPr>
        <w:t>原始压缩包之外提供的新版潮流手册与转换论文是格式、算法参考资料，不是新增的现场补偿容量、分接范围或投切记录。新压缩包未包含PFO/BSE等朋友的已计算结果文件。</w:t>
      </w:r>
    </w:p>
    <w:p>
      <w:pPr>
        <w:pStyle w:val="Heading1"/>
      </w:pPr>
      <w:r>
        <w:t>三、按原DAT控制设定复算的负载率</w:t>
      </w:r>
    </w:p>
    <w:p>
      <w:r>
        <w:rPr>
          <w:rFonts w:ascii="Noto Serif CJK SC" w:hAnsi="Noto Serif CJK SC" w:eastAsia="Noto Serif CJK SC"/>
        </w:rPr>
        <w:t>下表均采用原始DAT，不回写96点馈线曲线、不添加微网，不将BE改为PQ，也不扩大额定容量。负载率为两侧电流折算额定容量后的较大值：100×max(|I₁,pu|,|I₂,pu|)×Sbase/Srated。原始91条T支路均纳入核查；三绕组星形等值支路仍按原T卡额定值计算，不将其误称为91台独立实物变压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GXVS2→GXVY2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T支路最高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最高T支路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线路最高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397.90%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654.88%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JIES1→JIEY2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366.37%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489.26%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829.38%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WMNS1→WMNY1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553.20%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独立牛顿法两个断面均迭代4次达到停止条件。与重新转换后的pandapower牛顿法相比，最大母线复电压差分别为4.89×10⁻¹⁰和1.15×10⁻⁹ pu；全部支路两端复功率的最大差分别为2.80×10⁻⁷和3.97×10⁻⁷ MVA。核查覆盖全部2127/2129条支路，不只是异常变压器。残差、导纳矩阵差、输入哈希保存在附件JSON。</w:t>
      </w:r>
    </w:p>
    <w:p>
      <w:pPr>
        <w:pStyle w:val="Heading1"/>
      </w:pPr>
      <w:r>
        <w:t>四、489%来自什么计算量</w:t>
      </w:r>
    </w:p>
    <w:p>
      <w:r>
        <w:rPr>
          <w:rFonts w:ascii="Noto Serif CJK SC" w:hAnsi="Noto Serif CJK SC" w:eastAsia="Noto Serif CJK SC"/>
        </w:rPr>
        <w:t>20点GXVS2→GXVY2的原T卡容量为10 MVA；独立计算高压侧P=5.5981 MW、Q=48.0690 Mvar，电压0.989124 pu，低压侧电压被BE控制为0.988 pu。对应电流口径489.26%，视在功率口径483.94%，仅有功除以容量为55.98%。主要差别来自大量无功；把55.98%当作完整负载率会漏掉无功电流。</w:t>
      </w:r>
    </w:p>
    <w:p>
      <w:r>
        <w:rPr>
          <w:rFonts w:ascii="Noto Serif CJK SC" w:hAnsi="Noto Serif CJK SC" w:eastAsia="Noto Serif CJK SC"/>
        </w:rPr>
        <w:t>新版《PSD-PF潮流程序用户手册》PDF第76—77页明确：BE为无功出力不受限的PV节点，为保持电压可产生“未安排无功”。该断面GXVY2计算得到约-47.09 Mvar的BE无功分配。当前转换保留PV控制，能解释为何出现较大的无功环流，但这种数学分配并不证明现场存在同等容量的补偿设备。仍需与BPA输出的已安排/未安排无功、节点电压和支路P/Q对照。</w:t>
      </w:r>
    </w:p>
    <w:p>
      <w:pPr>
        <w:pStyle w:val="Heading1"/>
      </w:pPr>
      <w:r>
        <w:t>五、转换审查发现与未决问题</w:t>
      </w:r>
    </w:p>
    <w:p>
      <w:r>
        <w:rPr>
          <w:rFonts w:ascii="Noto Serif CJK SC" w:hAnsi="Noto Serif CJK SC" w:eastAsia="Noto Serif CJK SC"/>
        </w:rPr>
        <w:t>1. 已证实的统计遗漏：原始91张T卡中，73条进入pandapower.trafo，另18条因归一化变比为1被导入impedance。18条支路仍在方程中，潮流已核对；只统计res_trafo会漏计其负载率，不是丢了18条网络连接。补全统计不会把当前最高值降低至200%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trafo表超过100%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impedance中T超过100%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全部T超过100%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全部T超过200%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29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以上为原T卡支路统计，包含三绕组等值支路，不等于独立实物设备台数。既有主报告中的41/43条变压器过载是73条trafo范围；本次补充说明统计范围，并新增18条阻抗表示的T支路核查。</w:t>
      </w:r>
    </w:p>
    <w:p>
      <w:r>
        <w:rPr>
          <w:rFonts w:ascii="Noto Serif CJK SC" w:hAnsi="Noto Serif CJK SC" w:eastAsia="Noto Serif CJK SC"/>
        </w:rPr>
        <w:t>2. 未发现可解释500%差异的量纲错误：原DAT第7行显式指定MVA_BASE=1000；新手册PDF第19页明确支持此基准值。两侧分接值、原始R/X及额定容量在当前方程中一致；这些文件的T卡励磁G/B均为0，第二侧分接归一化值均为1。独立解析器包含Fortran隐含小数点规则，未因此改变本例的结果。不能为降低负载率而把1000任意改成100。</w:t>
      </w:r>
    </w:p>
    <w:p>
      <w:r>
        <w:rPr>
          <w:rFonts w:ascii="Noto Serif CJK SC" w:hAnsi="Noto Serif CJK SC" w:eastAsia="Noto Serif CJK SC"/>
        </w:rPr>
        <w:t>补充敏感性实验只在内存中把系统基准改成100 MVA：两个断面的平坦启动无阻尼牛顿迭代均离开正电压范围。该实验既不是数据修复，也不证明其他初值或算法一定不收敛；它说明目前没有得到“改为100即可正常”的计算证据。原文件未改动。</w:t>
      </w:r>
    </w:p>
    <w:p>
      <w:r>
        <w:rPr>
          <w:rFonts w:ascii="Noto Serif CJK SC" w:hAnsi="Noto Serif CJK SC" w:eastAsia="Noto Serif CJK SC"/>
        </w:rPr>
        <w:t>3. 仍有建模假设：26条零阻抗L卡沿用原转换的X=10⁻⁶ pu数值处理。独立实现和转换模型都采用这一处理，结果一致不验证PSD-BPA对此类支路的处理。三绕组星形等值中的负电抗也保留原值，未取绝对值。</w:t>
      </w:r>
    </w:p>
    <w:p>
      <w:r>
        <w:rPr>
          <w:rFonts w:ascii="Noto Serif CJK SC" w:hAnsi="Noto Serif CJK SC" w:eastAsia="Noto Serif CJK SC"/>
        </w:rPr>
        <w:t>4. 两类容量不能混用：馈线Excel的“终止节点负荷容量kVA”与DAT主变T卡容量、整站容量不是同一统计对象；含分布式电源时，节点净注入除以负荷容量也不等于变压器负载率。因此不能从部分馈线约200%的指标推断整个主网最高负载率。</w:t>
      </w:r>
    </w:p>
    <w:p>
      <w:r>
        <w:rPr>
          <w:rFonts w:ascii="Noto Serif CJK SC" w:hAnsi="Noto Serif CJK SC" w:eastAsia="Noto Serif CJK SC"/>
        </w:rPr>
        <w:t>5. 无功补偿实物容量、投切状态、可调分接范围及已校核的BPA结果仍缺失；这次新文件没有补齐这些现场参数。</w:t>
      </w:r>
    </w:p>
    <w:p>
      <w:pPr>
        <w:pStyle w:val="Heading1"/>
      </w:pPr>
      <w:r>
        <w:t>六、如何进一步判断是否转换错误</w:t>
      </w:r>
    </w:p>
    <w:p>
      <w:r>
        <w:rPr>
          <w:rFonts w:ascii="Noto Serif CJK SC" w:hAnsi="Noto Serif CJK SC" w:eastAsia="Noto Serif CJK SC"/>
        </w:rPr>
        <w:t>应在同一13点/20点DAT、相同设备及运行控制条件下，先对比BPA和当前模型的P、Q、两侧电压与分接位置，再对比负载率。若P/Q/电压已经不同，追查模型与控制语义；若这些量一致而负载率不同，追查额定容量、电流/视在功率及单绕组/整站汇总口径。只有“BPA最高约200%”这一汇总描述，无法确定是哪条支路、哪个断面和哪种定义，也不能支持直接修改数据。</w:t>
      </w:r>
    </w:p>
    <w:p>
      <w:r>
        <w:rPr>
          <w:rFonts w:ascii="Noto Serif CJK SC" w:hAnsi="Noto Serif CJK SC" w:eastAsia="Noto Serif CJK SC"/>
        </w:rPr>
        <w:t>后续关键对照记录：GXVS2→GXVY2，以及13点最高JIES1→JIEY2、20点最高WMNS1→WMNY1。BPA结果应同时保留未安排无功及收敛信息。当前结论是“指定模型可复现高负载率，尚未定位到能解释与朋友BPA差异的转换错误”，不是“原始数据一定错误”。</w:t>
      </w:r>
    </w:p>
    <w:p>
      <w:pPr>
        <w:pStyle w:val="Heading1"/>
      </w:pPr>
      <w:r>
        <w:t>七、附件与复现</w:t>
      </w:r>
    </w:p>
    <w:p>
      <w:r>
        <w:rPr>
          <w:rFonts w:ascii="Noto Serif CJK SC" w:hAnsi="Noto Serif CJK SC" w:eastAsia="Noto Serif CJK SC"/>
        </w:rPr>
        <w:t>附件JSON包含原文件哈希、新旧单元格比较、转换参数比较和独立计算证据；两份CSV逐行给出原DAT行号、端点、电压基准、容量、R/X、变比、两端P/Q、三种负载率及pandapower元件映射。</w:t>
      </w:r>
    </w:p>
    <w:p>
      <w:r>
        <w:rPr>
          <w:rFonts w:ascii="Noto Serif CJK SC" w:hAnsi="Noto Serif CJK SC" w:eastAsia="Noto Serif CJK SC"/>
        </w:rPr>
        <w:t>独立复算命令（powerflow Python环境）：</w:t>
      </w:r>
    </w:p>
    <w:p>
      <w:r>
        <w:rPr>
          <w:rFonts w:ascii="Noto Serif CJK SC" w:hAnsi="Noto Serif CJK SC" w:eastAsia="Noto Serif CJK SC"/>
        </w:rPr>
        <w:t>/home/y/miniconda3/envs/powerflow/bin/python tools/verify_bpa_newton_comparison.py --raw-dir raw_dataset/extracted --converted-dir data/diagnostics/raw_dataset_check/fresh_conversion --output-dir data/diagnostics/raw_dataset_check</w:t>
      </w:r>
    </w:p>
    <w:p>
      <w:r>
        <w:rPr>
          <w:rFonts w:ascii="Noto Serif CJK SC" w:hAnsi="Noto Serif CJK SC" w:eastAsia="Noto Serif CJK SC"/>
        </w:rPr>
        <w:t>上述命令需要本次独立目录中已重新生成的两个pandapower参考模型；独立方程自身直接读取raw_dataset/extracted中的DAT。报告生成：python tools/build_raw_dataset_verification_report.py。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6"/>
      </w:rPr>
      <w:t xml:space="preserve">第 </w:t>
    </w:r>
    <w:fldSimple w:instr="PAGE"/>
    <w:r>
      <w:rPr>
        <w:rFonts w:ascii="Noto Serif CJK SC" w:hAnsi="Noto Serif CJK SC" w:eastAsia="Noto Serif CJK SC"/>
        <w:sz w:val="16"/>
      </w:rPr>
      <w:t xml:space="preserve"> 页 / 共 </w:t>
    </w:r>
    <w:fldSimple w:instr="NUMPAGES"/>
    <w:r>
      <w:rPr>
        <w:rFonts w:ascii="Noto Serif CJK SC" w:hAnsi="Noto Serif CJK SC" w:eastAsia="Noto Serif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石家庄示范区 · 数据与模型质量核查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03A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原始数据集与转换模型
复算核查报告</dc:title>
  <dc:subject>数据异常、缺失参数、控制模型和算法边界</dc:subject>
  <dc:creator>项目资料核查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