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石家庄示范区电网潮流</w:t>
        <w:br/>
        <w:t>数据与模型质量核查报告</w:t>
      </w:r>
    </w:p>
    <w:p>
      <w:pPr>
        <w:pStyle w:val="Subtitle"/>
      </w:pPr>
      <w:r>
        <w:t>原始断面 / 假设校正 / 缺失参数 / 整改依据</w:t>
      </w:r>
    </w:p>
    <w:p>
      <w:r>
        <w:rPr>
          <w:rFonts w:ascii="Noto Serif CJK SC" w:hAnsi="Noto Serif CJK SC" w:eastAsia="Noto Serif CJK SC"/>
        </w:rPr>
        <w:t>编制日期：2026年10月18日</w:t>
      </w:r>
    </w:p>
    <w:p>
      <w:r>
        <w:rPr>
          <w:rFonts w:ascii="Noto Serif CJK SC" w:hAnsi="Noto Serif CJK SC" w:eastAsia="Noto Serif CJK SC"/>
        </w:rPr>
        <w:t>核查对象：当前项目中的匿名示范区13点、20点断面及10 kV馈线曲线。原始DAT的CASEID为zhengding；实际地理边界和设备名称仍以数据提供方说明为准。</w:t>
      </w:r>
    </w:p>
    <w:p>
      <w:r>
        <w:rPr>
          <w:rFonts w:ascii="Noto Serif CJK SC" w:hAnsi="Noto Serif CJK SC" w:eastAsia="Noto Serif CJK SC"/>
        </w:rPr>
        <w:t>报告性质：本地数据、转换模型与算法实现的质量核查。计算结果用于定位问题；不构成现场设备状态核验或已恢复正常运行的证明。</w:t>
      </w:r>
    </w:p>
    <w:p>
      <w:pPr>
        <w:pStyle w:val="Heading1"/>
      </w:pPr>
      <w:r>
        <w:t>一、主要结论</w:t>
      </w:r>
    </w:p>
    <w:p>
      <w:r>
        <w:rPr>
          <w:rFonts w:ascii="Noto Serif CJK SC" w:hAnsi="Noto Serif CJK SC" w:eastAsia="Noto Serif CJK SC"/>
        </w:rPr>
        <w:t>目前的异常是数据完整性、控制模型假设、容量约束和算法实现边界共同作用的结果，不能只归因于求解算法，也不能笼统判定原始数据全部错误。</w:t>
      </w:r>
    </w:p>
    <w:p>
      <w:r>
        <w:rPr>
          <w:rFonts w:ascii="Noto Serif CJK SC" w:hAnsi="Noto Serif CJK SC" w:eastAsia="Noto Serif CJK SC"/>
        </w:rPr>
        <w:t>1. 原始控制模型中TRAFO-008在20点的负载率为489.26%，13点为397.90%。常规牛顿法与Iwamoto牛顿法均能复现；该现象与BE节点为维持目标电压而产生的大量等效无功强相关，尚无证据证明现场设备实际承受同等负载。</w:t>
      </w:r>
    </w:p>
    <w:p>
      <w:r>
        <w:rPr>
          <w:rFonts w:ascii="Noto Serif CJK SC" w:hAnsi="Noto Serif CJK SC" w:eastAsia="Noto Serif CJK SC"/>
        </w:rPr>
        <w:t>2. 缺少BE实际补偿设备容量、投切状态、无功上下限、变压器分接头可调范围及原BPA结果。已找到的容量、阻抗和分接电压只能证明原始算例怎么填写，不能替代设备台账。</w:t>
      </w:r>
    </w:p>
    <w:p>
      <w:r>
        <w:rPr>
          <w:rFonts w:ascii="Noto Serif CJK SC" w:hAnsi="Noto Serif CJK SC" w:eastAsia="Noto Serif CJK SC"/>
        </w:rPr>
        <w:t>3. 按明确假设撤去部分BE额外无功控制后，目标变压器负载率下降，但全网仍过载，并出现更明显的电压筛查问题。不能以单台设备低于100%认定模型或电网已正常。</w:t>
      </w:r>
    </w:p>
    <w:p>
      <w:r>
        <w:rPr>
          <w:rFonts w:ascii="Noto Serif CJK SC" w:hAnsi="Noto Serif CJK SC" w:eastAsia="Noto Serif CJK SC"/>
        </w:rPr>
        <w:t>4. 新核查发现102条有效曲线记录未匹配到模型母线、2个空行被转换成零曲线、目录有2个馈线名称未找到同名文件；还缺少GIS、详细微网与开关控制资料。</w:t>
      </w:r>
    </w:p>
    <w:p>
      <w:r>
        <w:rPr>
          <w:rFonts w:ascii="Noto Serif CJK SC" w:hAnsi="Noto Serif CJK SC" w:eastAsia="Noto Serif CJK SC"/>
        </w:rPr>
        <w:t>5. 当前示范区分区流程使用全网已解电压作为边界进行复算验证，未形成独立的主配微边界协调求解。已修复部分数值重试和结果校验问题，但该结构性限制仍存在。</w:t>
      </w:r>
    </w:p>
    <w:p>
      <w:r>
        <w:rPr>
          <w:rFonts w:ascii="Noto Serif CJK SC" w:hAnsi="Noto Serif CJK SC" w:eastAsia="Noto Serif CJK SC"/>
        </w:rPr>
        <w:t>原始目录明确选取了“过载”“重载”和反送场景，因此某些过载可能是研究工况的一部分。整改目标应是得到有依据的物理模型与可信计算结果，而不是人为把每个数值调进正常区间。</w:t>
      </w:r>
    </w:p>
    <w:p>
      <w:pPr>
        <w:pStyle w:val="Heading1"/>
      </w:pPr>
      <w:r>
        <w:t>二、核查依据与数据范围</w:t>
      </w:r>
    </w:p>
    <w:p>
      <w:r>
        <w:rPr>
          <w:rFonts w:ascii="Noto Serif CJK SC" w:hAnsi="Noto Serif CJK SC" w:eastAsia="Noto Serif CJK SC"/>
        </w:rPr>
        <w:t>证据分为三类：可直接核对的原始文件字段；当前环境可复现的计算结果；尚待台账或原软件结果确认的工程解释。报告分别表述，避免把推断当作实测。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资料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位置／数量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核查用途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原始潮流断面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data/demo_area/raw/13点sim2合并anony.dat；20点sim2合并anony.dat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母线、支路、控制类型、1000 MVA基准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原始馈线表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raw/各10kV馈线：18份XLS；目录XLS：1份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全部21张工作表、线路属性与96点P/Q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转换后模型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converted/demo_area_13/20_pandapower.json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模型规模、约束、设备编号和静态连通性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BPA手册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raw/潮流手册.pdf，95页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BE、T、R、X卡及未安排无功语义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其他项目材料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24份DOCX/PPTX、2份WPS、3份进度／成果表、121页任务书及项目ZIP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查找设备参数与来源；包含Git HEAD中3份已删除文档的只读检查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诊断与校正证据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data/diagnostics/；data/demo_area/corrected/summary.json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数值对照、假设变更、剩余异常及源文件哈希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未对报告内所有图片完整OCR；未进行现场量测采集或原BPA软件对照。项目ZIP只有现有论文、专利与报告，没有发现额外设备台账。IEEE和合成网络参数未作为示范区实际参数使用。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断面</w:t>
            </w:r>
          </w:p>
        </w:tc>
        <w:tc>
          <w:tcPr>
            <w:tcW w:type="dxa" w:w="1377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母线</w:t>
            </w:r>
          </w:p>
        </w:tc>
        <w:tc>
          <w:tcPr>
            <w:tcW w:type="dxa" w:w="1377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线路</w:t>
            </w:r>
          </w:p>
        </w:tc>
        <w:tc>
          <w:tcPr>
            <w:tcW w:type="dxa" w:w="1377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两绕组变压器</w:t>
            </w:r>
          </w:p>
        </w:tc>
        <w:tc>
          <w:tcPr>
            <w:tcW w:type="dxa" w:w="1377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阻抗元件</w:t>
            </w:r>
          </w:p>
        </w:tc>
        <w:tc>
          <w:tcPr>
            <w:tcW w:type="dxa" w:w="1377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BE等效gen</w:t>
            </w:r>
          </w:p>
        </w:tc>
        <w:tc>
          <w:tcPr>
            <w:tcW w:type="dxa" w:w="1377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连通分量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2121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2036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73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18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49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2122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2038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73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18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48</w:t>
            </w:r>
          </w:p>
        </w:tc>
        <w:tc>
          <w:tcPr>
            <w:tcW w:type="dxa" w:w="1377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每个断面原始DAT均有91张T卡，转换后为73个变压器和18个阻抗元件；不能直接把91与73的差额当作丢失设备。当前两模型各为1个连通分量，未发现重复的“BPA节点名＋基准电压”键，已供给的线路额定电流和变压器容量未出现非正值；这些检查不代表所有物理参数已经正确。</w:t>
      </w:r>
    </w:p>
    <w:p>
      <w:pPr>
        <w:pStyle w:val="Heading1"/>
      </w:pPr>
      <w:r>
        <w:t>三、已确认的计算异常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断面</w:t>
            </w:r>
          </w:p>
        </w:tc>
        <w:tc>
          <w:tcPr>
            <w:tcW w:type="dxa" w:w="1606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模型</w:t>
            </w:r>
          </w:p>
        </w:tc>
        <w:tc>
          <w:tcPr>
            <w:tcW w:type="dxa" w:w="1606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TRAFO-008</w:t>
            </w:r>
          </w:p>
        </w:tc>
        <w:tc>
          <w:tcPr>
            <w:tcW w:type="dxa" w:w="1606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过载变压器</w:t>
            </w:r>
          </w:p>
        </w:tc>
        <w:tc>
          <w:tcPr>
            <w:tcW w:type="dxa" w:w="1606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过载线路</w:t>
            </w:r>
          </w:p>
        </w:tc>
        <w:tc>
          <w:tcPr>
            <w:tcW w:type="dxa" w:w="1606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电压范围 pu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原始控制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397.90%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41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27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0.94228–1.03540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假设校正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55.40%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18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21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0.93709–1.02787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原始控制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489.26%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43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25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0.93782–1.03449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假设校正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53.53%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8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0.92410–1.06510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统计口径：本报告引用的诊断和假设校正结果均从原始转换模型起算，不叠加馈线曲线回写或等值微网；全网交流潮流采用NR、flat初值、T型变压器、开启相角、容差1e−8 MVA。过载按模型额定值及100%最大负载率判断，全部73个变压器、2036／2038条线路参与相应断面统计。曲线回写或微网叠加会改变工况，不应混用这些数值。</w:t>
      </w:r>
    </w:p>
    <w:p>
      <w:pPr>
        <w:pStyle w:val="Heading2"/>
      </w:pPr>
      <w:r>
        <w:t>3.1 目标变压器及BE无功异常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断面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高压侧P MW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高压侧Q Mvar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BE求解Q Mvar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目标电压 pu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5.5882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39.3574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−38.0549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0.979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5.5981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48.0690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−47.0887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0.988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TRAFO-008是显示编号，对应pandapower变压器索引7；高压母线14（GXVS2）、低压母线16（GXVY2），原始容量10 MVA、37/10.5 kV。20点时约48.07 Mvar的高压侧无功远大于约5.60 MW的有功，是高负载率的重要原因。负载率采用额定电流口径，因此489.26%表示模型电流约为额定值的4.89倍，不能把这个比例直接作为现场实测结论。</w:t>
      </w:r>
    </w:p>
    <w:p>
      <w:pPr>
        <w:pStyle w:val="Heading2"/>
      </w:pPr>
      <w:r>
        <w:t>3.2 最严重设备及有功输送瓶颈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断面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模型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设备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两端母线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最大负载率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TRAFO-010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JIES1→JIEY2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654.88%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LINE-022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JIPS1→HWFS1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366.37%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假设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TRAFO-015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WMNS1→WMNY1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561.34%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假设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LINE-022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JIPS1→HWFS1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371.47%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TRAFO-015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WMNS1→WMNY1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829.38%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LINE-023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JIPS1→HWFS1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553.20%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假设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TRAFO-056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FPVS1→FPVB1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285.20%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假设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LINE-023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JIPS1→HWFS1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525.45%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断面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径向断面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下游净P MW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可传P上界 MW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必要缺口下界 MW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FUNS2→AYWS1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43.189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34.824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8.365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DD1→DD2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4.374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3.301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1.073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CW16→CW30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2.752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2.501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0.251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这些容量下界在忽略损耗、允许电压达到模型上限1.10 pu的乐观条件下计算，仍存在正缺口，说明只调无功不能消除所有过载。数值以当前负荷、拓扑和额定电流正确为前提；缺口不等于推荐切负荷量。应先核对线路／并联回路额定值及场景定义，再研究转供、本地支撑或真实设备改造。</w:t>
      </w:r>
    </w:p>
    <w:p>
      <w:pPr>
        <w:pStyle w:val="Heading2"/>
      </w:pPr>
      <w:r>
        <w:t>3.3 电压筛查不能以默认限值代替现场标准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断面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模型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超出模型0.9–1.1 pu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超出筛查0.95–1.05 pu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210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假设校正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464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389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假设校正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454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转换器在build_ppc中统一写入VMAX=1.1、VMIN=0.9。这是模型默认值，不是已确认的现场运行标准；0.95–1.05 pu仅作附加筛查，也未被认定为所有电压等级的统一标准。20点假设校正后GXVY2达到1.06510 pu，虽然在默认上限内，仍需工程核查；13点筛查点数由210增至464，说明目标设备负载率改善伴随其他指标变化。</w:t>
      </w:r>
    </w:p>
    <w:p>
      <w:pPr>
        <w:pStyle w:val="Heading1"/>
      </w:pPr>
      <w:r>
        <w:t>四、数据集缺失与一致性问题</w:t>
      </w:r>
    </w:p>
    <w:p>
      <w:pPr>
        <w:pStyle w:val="Heading2"/>
      </w:pPr>
      <w:r>
        <w:t>4.1 馈线目录、有效记录及母线映射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实查结果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影响／判断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目录与文件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21条目录项，20个唯一名称；DD线跨分类重复；实际18份馈线XLS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重复分类本身不代表重复设备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目录未发现同名文件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UF现线、YE线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仅按去空格、去末尾句点比较；可能缺文件或命名未对齐，不擅自视为同一馈线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原始总行数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1663行，其中QL大学线第7、8行为全空记录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有效记录1661行；转换后保留2个空行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成功映射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两断面均1559条、1559个唯一目标母线；未发现重复目标母线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有效记录匹配率93.86%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有效但未匹配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VG线100条、CW线1条（CW36）、ZF线1条（ZFA128），共102条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不能直接将曲线写回现有母线；需对照拓扑版本和匿名映射表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JSON的mapped_row_count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1661仅统计具有生成名称的行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不是实际匹配成功数，必须与运行时matched_rows区分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曲线时刻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未匹配记录P合计 MW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未匹配记录Q合计 Mvar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13:00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-0.322851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0.281972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20:00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1.699571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0.185221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上述合计是尚未映射的曲线数据，不是全网漏负荷量。当前代码跳过未匹配曲线，并保留未回写母线原DAT负荷，可能形成来源混合的工况；需要按母线核对，不能简单追加上述P/Q。全量逐行位置见附件《馈线未匹配记录.csv》。</w:t>
      </w:r>
    </w:p>
    <w:p>
      <w:pPr>
        <w:pStyle w:val="Heading2"/>
      </w:pPr>
      <w:r>
        <w:t>4.2 曲线质量、空白与静默补零</w:t>
      </w:r>
    </w:p>
    <w:p>
      <w:r>
        <w:rPr>
          <w:rFonts w:ascii="Noto Serif CJK SC" w:hAnsi="Noto Serif CJK SC" w:eastAsia="Noto Serif CJK SC"/>
        </w:rPr>
        <w:t>18份曲线均覆盖00:00–23:45的96个15分钟时刻，未发现重复时刻标签、转换后长度错误或非有限数。逐单元格比对318,912个原始数值P/Q单元格与转换JSON，未发现超过1e−12数值容差的不一致。384个空白P/Q单元格全部来自QL大学线两个全空行，不应描述成384个有效测点缺失。</w:t>
      </w:r>
    </w:p>
    <w:p>
      <w:r>
        <w:rPr>
          <w:rFonts w:ascii="Noto Serif CJK SC" w:hAnsi="Noto Serif CJK SC" w:eastAsia="Noto Serif CJK SC"/>
        </w:rPr>
        <w:t>转换结果有17行线路型号为空、14行长度非正；这些计数包含上述2个空行。零长度可能是连接／母线段等效，型号缺失也可能对应非线路记录，现有资料不足以逐项判错。曲线有功负值2,914个、无功负值16,476个，可能来自反送或容性负荷，不能批量改为正数或零。</w:t>
      </w:r>
    </w:p>
    <w:p>
      <w:r>
        <w:rPr>
          <w:rFonts w:ascii="Noto Serif CJK SC" w:hAnsi="Noto Serif CJK SC" w:eastAsia="Noto Serif CJK SC"/>
        </w:rPr>
        <w:t>转换器float_or_zero把空白或不能解析的数值文本都返回0；运行时曲线长度不足也回填0。这是数据质量风险：缺失、解析失败和实际零值会失去区分。此次有效P/Q原始单元格未发现文本或Excel错误值，但上述风险应在后续输入校验中修复。</w:t>
      </w:r>
    </w:p>
    <w:p>
      <w:pPr>
        <w:pStyle w:val="Heading2"/>
      </w:pPr>
      <w:r>
        <w:t>4.3 DAT断面与XLS曲线不一致，且缺少来源日期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DD线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DAT对应母线负荷P MW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XLS同名时刻P MW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曲线−DAT MW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3.321000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2.342250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-0.978750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4.374000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5.370779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+0.996779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存在时刻名相同但负荷不同的情况，可能涉及日期、量测口径、负荷分配、场景加工或网架版本差异；当前证据不能确定哪个来源错误。96点标签仅有时刻，缺少可供关联的明确采样日期、数据质量标识、场景编号和同步量测来源。不应在没有场景清单的情况下把DAT、XLS曲线和微网等值同时叠加后仍称为原始13点／20点结果。</w:t>
      </w:r>
    </w:p>
    <w:p>
      <w:pPr>
        <w:pStyle w:val="Heading2"/>
      </w:pPr>
      <w:r>
        <w:t>4.4 缺少的关键设备与工程参数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缺失内容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需要的最小字段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对计算的影响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BE实际补偿与控制台账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节点／设备ID、类型、额定及分组Mvar、Qmin/Qmax、控制模式、U目标、13/20点投切状态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决定恒压无功是否实际可用及越限处理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变压器调压边界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设备ID、调压侧、最小／最大分接、档数、步长、当前档、死区和控制方式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决定能否用真实调压替代虚拟无功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原BPA结果与场景说明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PFO／未安排无功表、软件版本、控制选项、断面日期及工况目的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分离原算例现象与转换差异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严重过载设备额定值核验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铭牌MVA／允许电流、并联回路、降容系数、温度与运行方式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验证有功瓶颈是否代表真实约束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曲线—母线完整映射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原／匿名节点对照、拓扑版本、102条未匹配记录的接入位置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避免部分回写形成混合断面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电压及电源能力标准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分电压等级运行限值、发电机／逆变器P-Q能力及场景状态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避免默认限值被误当工程合格标准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真实微网、储能和DG资料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PCC、内部网架、设备容量、P/Q控制、SOC与实测曲线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替换当前研究用等值微网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开关及联络控制资料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开关ID、两端、常开／常闭、断面状态、联络关系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验证网架及转供可行性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地理与线路空间资料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站址／杆塔坐标、坐标系、线路折线、设备GIS对应关系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支撑真实位置展示与空间拓扑核对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P0表示影响当前结果可信度、应优先补齐；P1表示影响完整工况和工程核验；P2为后续地理校核资料。优先级仅用于本次整改排序，不是电网安全等级。</w:t>
      </w:r>
    </w:p>
    <w:p>
      <w:pPr>
        <w:pStyle w:val="Heading1"/>
      </w:pPr>
      <w:r>
        <w:t>五、参数语义与建模风险</w:t>
      </w:r>
    </w:p>
    <w:p>
      <w:pPr>
        <w:pStyle w:val="Heading2"/>
      </w:pPr>
      <w:r>
        <w:t>5.1 BE节点：未安排无功不等于现场补偿能力</w:t>
      </w:r>
    </w:p>
    <w:p>
      <w:r>
        <w:rPr>
          <w:rFonts w:ascii="Noto Serif CJK SC" w:hAnsi="Noto Serif CJK SC" w:eastAsia="Noto Serif CJK SC"/>
        </w:rPr>
        <w:t>BPA手册PDF第74–75页说明，BE为无功不受限的PV节点，超出已安排能力的部分可作为未安排无功保持电压；第95页要求检查未安排无功并结合补偿、变比、发电机电压调整。当前转换器将BE等效为PV gen，Q边界统一给到±9999 Mvar，服务入口还显式设置enforce_q_lims=False。仅打开限值开关、仍保留±9999边界，不能得到真实设备能力约束。</w:t>
      </w:r>
    </w:p>
    <w:p>
      <w:r>
        <w:rPr>
          <w:rFonts w:ascii="Noto Serif CJK SC" w:hAnsi="Noto Serif CJK SC" w:eastAsia="Noto Serif CJK SC"/>
        </w:rPr>
        <w:t>13点49个BE的Qmin均为空，Qmax中40个为0、9个为负；20点48个BE的Qmin均为空、Qmax均为0。并联导纳字段均为空。这里必须区分“空白”“数值0”和“已确认能力为0”。旧诊断JSON中的raw_qmin_mvar=0是解析器的缺省值，不是原卡显式填写；本报告以actual_parameter_inventory.json保存的原始字段为准。负Qmax与缺失Qmin也不能通过交换上下限或擅自解释为固定Q来解决。</w:t>
      </w:r>
    </w:p>
    <w:p>
      <w:pPr>
        <w:pStyle w:val="Heading2"/>
      </w:pPr>
      <w:r>
        <w:t>5.2 变比和阻抗：有断面输入值，没有可调范围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13点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20点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证据性质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GXVS2→GXVY2额定容量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 MVA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 MVA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原T卡第34–37列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基准电压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37/10.5 kV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37/10.5 kV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原T卡母线基准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输入分接电压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36.75/10.5 kV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35.87/10.5 kV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原T卡第63–72列，不能当上下限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系统基准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1000 MVA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1000 MVA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DAT第7行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该T卡R／X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0.0436／0.6802 pu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0.0436／0.6802 pu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系统基准标幺值，非设备基准百分数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R／X控制卡数量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0／0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0／0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未提供调压范围或投切分组数据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变压器阻抗和系统基准应继续对照设备试验参数，但现有证据不足以认定为单位错位，不能为降低负载率擅自乘10、修改额定容量或调节分接头。两个断面各有21张T卡含负电抗，转换模型相应有21个负vk_percent变压器；三绕组星形等值可能出现负支路电抗，应按原设备整体等值核验，不能见负值就取绝对值。手册PDF第84页也明确三绕组通过多个两绕组等值表示。</w:t>
      </w:r>
    </w:p>
    <w:p>
      <w:pPr>
        <w:pStyle w:val="Heading2"/>
      </w:pPr>
      <w:r>
        <w:t>5.3 电气连接、数值等效与实际地理位置</w:t>
      </w:r>
    </w:p>
    <w:p>
      <w:r>
        <w:rPr>
          <w:rFonts w:ascii="Noto Serif CJK SC" w:hAnsi="Noto Serif CJK SC" w:eastAsia="Noto Serif CJK SC"/>
        </w:rPr>
        <w:t>DAT提供母线—支路电气连接，但当前模型的bus/line geo均没有有效记录。18份XLS提供了馈线线路长度，却没有杆塔坐标和线路折线。转换后的所有net.line.length_km均为1 km，是PPC阻抗换算的等效表达；不得用于统计真实线路总长。当前布局文件来自spring_layout算法，文件名中的actual不构成地理真实性证据。</w:t>
      </w:r>
    </w:p>
    <w:p>
      <w:r>
        <w:rPr>
          <w:rFonts w:ascii="Noto Serif CJK SC" w:hAnsi="Noto Serif CJK SC" w:eastAsia="Noto Serif CJK SC"/>
        </w:rPr>
        <w:t>两个断面均有26条零R、零X的L卡在转换中赋予X=1e−6 pu，用于数值正则化。这是已发生的参数变更，应单独记录并评估敏感性；可能对应母联或连接段，不能直接认定为损坏数据。当前模型switch表为空，仅包含静态连通关系，不能据此宣称现场没有开关。</w:t>
      </w:r>
    </w:p>
    <w:p>
      <w:pPr>
        <w:pStyle w:val="Heading2"/>
      </w:pPr>
      <w:r>
        <w:t>5.4 微网与发电元件的解释边界</w:t>
      </w:r>
    </w:p>
    <w:p>
      <w:r>
        <w:rPr>
          <w:rFonts w:ascii="Noto Serif CJK SC" w:hAnsi="Noto Serif CJK SC" w:eastAsia="Noto Serif CJK SC"/>
        </w:rPr>
        <w:t>真实微网内部网架、PCC和设备台账未找到。代码的model_type为equivalent_microgrid_overlay，并注明用于接口及并行计算验证，不能将其规模和设备参数作为实测数据。13点与20点sgen数量分别为121和6；负荷／发电符号与转换等值会影响表中元件数量，不能据此断言现场少了115台发电设备。</w:t>
      </w:r>
    </w:p>
    <w:p>
      <w:pPr>
        <w:pStyle w:val="Heading1"/>
      </w:pPr>
      <w:r>
        <w:t>六、算法审查、已修复事项与未完成能力</w:t>
      </w:r>
    </w:p>
    <w:p>
      <w:pPr>
        <w:pStyle w:val="Heading2"/>
      </w:pPr>
      <w:r>
        <w:t>6.1 与489.26%直接相关的数值证据</w:t>
      </w:r>
    </w:p>
    <w:p>
      <w:r>
        <w:rPr>
          <w:rFonts w:ascii="Noto Serif CJK SC" w:hAnsi="Noto Serif CJK SC" w:eastAsia="Noto Serif CJK SC"/>
        </w:rPr>
        <w:t>原始模型用NR及Iwamoto NR从flat初值求解均得到同一目标负载率；按现有±9999 Mvar边界开启无功限值结果也不变。仅把GXVY2的额外Q固定为0时，13点约54.77%、20点约55.16%，但同时释放了原恒压要求。这证明结果对控制模型敏感，不证明Q=0就是正确现场模型，也不是原BPA软件独立验证。</w:t>
      </w:r>
    </w:p>
    <w:p>
      <w:pPr>
        <w:pStyle w:val="Heading2"/>
      </w:pPr>
      <w:r>
        <w:t>6.2 分区验证与独立协调求解的区别</w:t>
      </w:r>
    </w:p>
    <w:p>
      <w:r>
        <w:rPr>
          <w:rFonts w:ascii="Noto Serif CJK SC" w:hAnsi="Noto Serif CJK SC" w:eastAsia="Noto Serif CJK SC"/>
        </w:rPr>
        <w:t>run_demo_area_service先完成全网NR；_compute_demo_partition_boundary再读取全网res_bus中的电压幅值和相角固定各分区边界；局部结果用于与全网解比较，不回写全网res_line或res_trafo。因此极小的分区电压误差只能证明已知边界下局部复算一致，不能证明独立分区法已计算出全网潮流，也不能将该误差作为独立协调算法精度或加速效果的充分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断面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当前诊断分区／收敛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最大电压差 pu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最大相角差 °</w:t>
            </w:r>
          </w:p>
        </w:tc>
        <w:tc>
          <w:tcPr>
            <w:tcW w:type="dxa" w:w="1928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全网方程残差 MVA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63/63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1.235e-08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1.540e-07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3.365e-06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67/67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1.602e-08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5.457e-07</w:t>
            </w:r>
          </w:p>
        </w:tc>
        <w:tc>
          <w:tcPr>
            <w:tcW w:type="dxa" w:w="1928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3.172e-06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当前诊断20点为67分区，旧转换产物保存64分区。划分可能受版本、参数和图划分环境影响，现有证据未锁定差异的唯一原因。引用结果必须带输入、算法配置和环境，不能为对齐旧报告手工合并分区并宣称算法改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事项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已采取处理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数值重试改变物理约束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重试保持参考模型enforce_q_lims策略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已修复并有回归测试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退化／不支持的Iwamoto重试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需要Q限制或无PQ变量时使用NR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已修复并有回归测试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缺失／非有限电压被当零误差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缺失或非有限结果标为失败，误差不伪造为0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已修复并有回归测试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分区角色不明确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返回solution_role及independent_partition_solve=False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已明确；独立边界协调未实现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源数据被覆盖风险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假设模型隔离输出，检查负荷／出力／额定值／拓扑不变及哈希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已实现；假设未被现场资料确认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正式服务仍用旧控制模型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当前入口读取converted并显式关闭Q限制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尚未接入按真实设备能力校核的正式模型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假设校正JSON位于corrected目录，并不会自动替代正式服务或页面的数据。获得真实能力后，需要同时核对服务的模型路径和无功限值策略；只生成新文件不足以让在线结果改变。</w:t>
      </w:r>
    </w:p>
    <w:p>
      <w:pPr>
        <w:pStyle w:val="Heading1"/>
      </w:pPr>
      <w:r>
        <w:t>七、已完成的假设校正及验证边界</w:t>
      </w:r>
    </w:p>
    <w:p>
      <w:r>
        <w:rPr>
          <w:rFonts w:ascii="Noto Serif CJK SC" w:hAnsi="Noto Serif CJK SC" w:eastAsia="Noto Serif CJK SC"/>
        </w:rPr>
        <w:t>默认假设：仅对原解析字段P、Pmax、Qmax、Qmin均按零值处理的BE，按没有额外未记载无功源的PQ节点求解；实际原卡中部分字段为空，该归零源自解析缺省。零有功不能证明没有SVC／SVG或补偿设备，因此此方案明确属于对照假设。13点处理40个BE、保留9个能力未定控制器；20点处理48个BE。</w:t>
      </w:r>
    </w:p>
    <w:p>
      <w:r>
        <w:rPr>
          <w:rFonts w:ascii="Noto Serif CJK SC" w:hAnsi="Noto Serif CJK SC" w:eastAsia="Noto Serif CJK SC"/>
        </w:rPr>
        <w:t>13点保留待核的BE节点为：IGSY1、IGSY2、HWFY1、HWFY2、WMNY1、WMNY2、NLDY1、NLDY2、CDWY2。这些节点原有非零有功或Q字段，没有在缺少依据时整体改为零无功；保留也不意味着其无功能力已验证。</w:t>
      </w:r>
    </w:p>
    <w:p>
      <w:r>
        <w:rPr>
          <w:rFonts w:ascii="Noto Serif CJK SC" w:hAnsi="Noto Serif CJK SC" w:eastAsia="Noto Serif CJK SC"/>
        </w:rPr>
        <w:t>校正保持全部负荷P/Q、各母线计划有功出力、拓扑、线路／变压器额定值、阻抗、分接输入和外网电压不变；未通过缩放负荷、放大容量或伪造补偿能力消除告警。允许通过带evidence字段的fixed_q或limited_pv配置，在资料齐备后替换假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验证项目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结果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全网求解及有限电压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两个假设模型均收敛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数值收敛不代表工程可行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13点最大方程残差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5.583e-06 MVA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独立重算的方程残差，不等同于输入tolerance_mva或现场误差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20点最大方程残差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3.861e-07 MVA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原始输入及结果哈希可追溯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JSON重新读取与求解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此前已验证一致复现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保存NR、T模型和Q限值策略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回归测试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本次重新运行11项测试全部通过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覆盖约束重试、缺失结果、假设保护及真实设置入口；不替代现场验证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运行状态标记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field_validated=False；violations_remaining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不将单台设备改善标记为全网正常</w:t>
            </w:r>
          </w:p>
        </w:tc>
      </w:tr>
    </w:tbl>
    <w:p>
      <w:pPr>
        <w:spacing w:after="40"/>
      </w:pPr>
    </w:p>
    <w:p>
      <w:pPr>
        <w:pStyle w:val="Heading1"/>
      </w:pPr>
      <w:r>
        <w:t>八、建议整改顺序与验收条件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具体工作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验收证据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1. 固化基线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锁定DAT／XLS／转换器／环境版本，分别保存原断面、曲线回写、微网叠加工况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文件哈希、工况清单和可重复计算结果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2. 补齐控制资料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优先核查GXVY2及BE极端无功节点，录入补偿能力、状态和调压范围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设备台账或原软件设置出处，不以猜测值替代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3. 修复数据接入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清理2个空行、逐条处置102个未匹配记录及2个目录缺口；保留缺失标志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有效记录100%有去向：成功映射或有依据地排除；不要求强行全部匹配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4. 重建实际约束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按真实能力处理PV/PQ转换、补偿投切、调压及电源能力；核验严重瓶颈额定值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输入物理一致、全网异常清单及各项变化原因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5. 对照与接入服务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与相同设置的BPA结果和可用量测对照，再同步模型路径及约束策略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母线／支路／外网P/Q对照及工程判限；原始与修订结果均保留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6. 独立分区求解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实现边界电压—功率协调并设置残差停止准则，计算不依赖预先全网解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独立初值、边界残差、失败场景、与集中式同模型结果对比及总耗时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验收时应分别回答：数据来源是否完整，模型约束是否代表实际设备，数值方程是否收敛，运行工况是否满足核定约束。若真实过载仍存在，应如实报告并提出有依据的运行或工程方案，不以修改数据消除告警作为验收标准。</w:t>
      </w:r>
    </w:p>
    <w:p>
      <w:pPr>
        <w:pStyle w:val="Heading1"/>
        <w:pageBreakBefore/>
      </w:pPr>
      <w:r>
        <w:t>附录A：假设校正后剩余过载设备</w:t>
      </w:r>
    </w:p>
    <w:p>
      <w:r>
        <w:rPr>
          <w:rFonts w:ascii="Noto Serif CJK SC" w:hAnsi="Noto Serif CJK SC" w:eastAsia="Noto Serif CJK SC"/>
        </w:rPr>
        <w:t>下表仅列假设校正模型的剩余过载。原始及假设两套模型的全部187条过载记录见同目录《异常设备明细.csv》，包含设备索引、两端母线、负载率、P/Q和额定值。显示编号由索引加1生成，不是现场资产编码。</w:t>
      </w:r>
    </w:p>
    <w:p>
      <w:r>
        <w:rPr>
          <w:rFonts w:ascii="Noto Serif CJK SC" w:hAnsi="Noto Serif CJK SC" w:eastAsia="Noto Serif CJK SC"/>
        </w:rPr>
        <w:t>13点剩余过载变压器：18个。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起点→终点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负载率 %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限值 %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TRAFO-015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WMNS1→WMNY1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561.34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TRAFO-017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NLDS1→NLDY1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441.69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TRAFO-016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WMNS2→WMNY2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396.80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TRAFO-018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NLDS2→NLDY2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383.84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TRAFO-001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IGSS1→IGSY1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350.27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TRAFO-047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CDWS2→CDWB2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332.86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TRAFO-044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CDW11→CDWB1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246.09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TRAFO-045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CDWS1→CDWB1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235.17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TRAFO-002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IGSS2→IGSY2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220.46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TRAFO-056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FPVS1→FPVB1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212.52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TRAFO-055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FPV11→FPVB1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200.84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TRAFO-049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JIP12→JIPB2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177.77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TRAFO-050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JIPS1→JIPB2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165.96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TRAFO-014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AYWS1→AYWY2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147.80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TRAFO-010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JIES1→JIEY2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118.72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TRAFO-013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AYWS1→AYWY1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114.20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TRAFO-066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FUN12→FUNB3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108.57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TRAFO-046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CDW12→CDWB2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106.37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13点剩余过载线路：21个。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起点→终点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负载率 %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限值 %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LINE-022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JIPS1→HWFS1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371.47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LINE-020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CDWS2→WMNS1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324.42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LINE-009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FPVS1→AAKT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257.53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LINE-010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AAKT→HWFS1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257.53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LINE-019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CDWS2→NLDS1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229.74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LINE-016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CDWS1→SAVT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213.58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LINE-005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FUNS2→AYWS1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139.19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LINE-013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CDWS1→MIFT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137.14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LINE-014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MIFT→IGSS1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135.62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LINE-1184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DD1→DD2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119.19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LINE-288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CBEY1→GH1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118.63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LINE-1346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VH1→VH4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114.34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LINE-003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FUNS2→IGSS2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112.78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LINE-001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FUNS1→ESET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110.93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LINE-002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ESET→JIES1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110.93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LINE-018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SAVT→WMNS2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108.63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LINE-1476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TYNY1→PP1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106.88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LINE-017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SAVT→NLDS2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105.08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LINE-030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VOE11→ORWT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102.51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LINE-031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ORWT→CDW11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102.51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LINE-2022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CW16→CW30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101.01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20点剩余过载变压器：4个。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起点→终点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负载率 %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限值 %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TRAFO-056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FPVS1→FPVB1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285.20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TRAFO-055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FPV11→FPVB1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273.21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TRAFO-049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JIP12→JIPB2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256.63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TRAFO-050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JIPS1→JIPB2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243.23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20点剩余过载线路：8个。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起点→终点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负载率 %</w:t>
            </w:r>
          </w:p>
        </w:tc>
        <w:tc>
          <w:tcPr>
            <w:tcW w:type="dxa" w:w="2409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限值 %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LINE-023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JIPS1→HWFS1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525.45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LINE-011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AAKT→HWFS1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345.61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LINE-010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FPVS1→AAKT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345.61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LINE-1186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DD1→DD2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155.26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LINE-044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CBE11→FUN11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138.93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LINE-2024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CW16→CW30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123.63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LINE-036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YOV11→JIP12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121.45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  <w:tr>
        <w:trPr>
          <w:cantSplit/>
        </w:trPr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LINE-1348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VH1→VH4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111.68</w:t>
            </w:r>
          </w:p>
        </w:tc>
        <w:tc>
          <w:tcPr>
            <w:tcW w:type="dxa" w:w="2409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100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附录B：来源定位、复现和附件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索引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证据</w:t>
            </w:r>
          </w:p>
        </w:tc>
        <w:tc>
          <w:tcPr>
            <w:tcW w:type="dxa" w:w="3213"/>
            <w:vAlign w:val="center"/>
            <w:shd w:fill="EAF0F4"/>
          </w:tcPr>
          <w:p>
            <w:pPr>
              <w:spacing w:after="60" w:before="60" w:line="252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定位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S1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原始DAT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13点：第47行BE、第49行目标T卡；20点：第46行BE、第48行目标T卡；两者第7行MVA_BASE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S2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原始BPA手册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PDF第74–75页（BE与字段）；84–86页（T/R）；95页（未安排无功）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S3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BE／默认电压约束转换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tools/convert_bpa_to_pandapower.py:185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S4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零阻抗正则化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tools/convert_bpa_to_pandapower.py:135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S5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曲线静默补零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tools/convert_demo_feeders.py:52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S6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曲线回写与匹配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gmss/core.py:2427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S7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服务入口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gmss/core.py:3955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S8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分区边界／求解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gmss/core.py:2619；gmss/core.py:3577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S9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微网等值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gmss/core.py:3884</w:t>
            </w:r>
          </w:p>
        </w:tc>
      </w:tr>
      <w:tr>
        <w:trPr>
          <w:cantSplit/>
        </w:trPr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S10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布局来源</w:t>
            </w:r>
          </w:p>
        </w:tc>
        <w:tc>
          <w:tcPr>
            <w:tcW w:type="dxa" w:w="3213"/>
            <w:vAlign w:val="center"/>
          </w:tcPr>
          <w:p>
            <w:pPr>
              <w:spacing w:after="60" w:before="60" w:line="252" w:lineRule="auto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rebuild_case_study_slides_v2.py:273</w:t>
            </w:r>
          </w:p>
        </w:tc>
      </w:tr>
    </w:tbl>
    <w:p>
      <w:pPr>
        <w:spacing w:after="40"/>
      </w:pPr>
    </w:p>
    <w:p>
      <w:r>
        <w:rPr>
          <w:rFonts w:ascii="Noto Serif CJK SC" w:hAnsi="Noto Serif CJK SC" w:eastAsia="Noto Serif CJK SC"/>
        </w:rPr>
        <w:t>随报告提供：异常设备明细.csv（187条）；馈线未匹配记录.csv（两个断面共208条，包括各2个空行，便于完整核对）；核查证据.json（数据统计、参数清单、输入文件完整哈希与结论来源）。</w:t>
      </w:r>
    </w:p>
    <w:p>
      <w:r>
        <w:rPr>
          <w:rFonts w:ascii="Noto Serif CJK SC" w:hAnsi="Noto Serif CJK SC" w:eastAsia="Noto Serif CJK SC"/>
        </w:rPr>
        <w:t>只读质量检查：在安装pandapower、xlrd的环境运行 python tools/audit_demo_dataset.py。报告生成：在安装python-docx的环境运行 python tools/build_dataset_quality_report.py。回归测试：python -m unittest discover -s tests -v。两个计算脚本为tools/diagnose_demo_transformer.py和tools/repair_demo_model.py；后者输出明确标注假设的独立模型，不覆盖原始输入。</w:t>
      </w:r>
    </w:p>
    <w:p>
      <w:r>
        <w:rPr>
          <w:rFonts w:ascii="Noto Serif CJK SC" w:hAnsi="Noto Serif CJK SC" w:eastAsia="Noto Serif CJK SC"/>
        </w:rPr>
        <w:t>源文件完整哈希见核查证据.json。相同输入的不同实验结果仅在明确其控制假设、曲线设置和微网设置后比较；本报告没有修改原始模型、核心算法或网页。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sz w:val="16"/>
      </w:rPr>
      <w:t xml:space="preserve">第 </w:t>
    </w:r>
    <w:fldSimple w:instr="PAGE"/>
    <w:r>
      <w:rPr>
        <w:rFonts w:ascii="Noto Serif CJK SC" w:hAnsi="Noto Serif CJK SC" w:eastAsia="Noto Serif CJK SC"/>
        <w:sz w:val="16"/>
      </w:rPr>
      <w:t xml:space="preserve"> 页 / 共 </w:t>
    </w:r>
    <w:fldSimple w:instr="NUMPAGES"/>
    <w:r>
      <w:rPr>
        <w:rFonts w:ascii="Noto Serif CJK SC" w:hAnsi="Noto Serif CJK SC" w:eastAsia="Noto Serif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sz w:val="16"/>
      </w:rPr>
      <w:t>石家庄示范区 · 数据与模型质量核查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erif CJK SC" w:hAnsi="Noto Serif CJK SC" w:eastAsia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A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A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03A4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石家庄示范区电网潮流数据与模型质量核查报告</dc:title>
  <dc:subject>数据异常、缺失参数、控制模型和算法边界</dc:subject>
  <dc:creator>项目资料核查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