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主配微分区解耦与潮流并行计算功能模块</w:t>
      </w:r>
    </w:p>
    <w:p>
      <w:pPr>
        <w:jc w:val="center"/>
      </w:pPr>
      <w:r>
        <w:rPr>
          <w:rFonts w:ascii="黑体" w:hAnsi="黑体" w:eastAsia="黑体"/>
          <w:b/>
          <w:sz w:val="30"/>
        </w:rPr>
        <w:t>北京邮电大学负责内容</w:t>
      </w:r>
    </w:p>
    <w:p>
      <w:pPr>
        <w:jc w:val="center"/>
      </w:pPr>
      <w:r>
        <w:rPr>
          <w:rFonts w:ascii="宋体" w:hAnsi="宋体" w:eastAsia="宋体"/>
          <w:sz w:val="24"/>
        </w:rPr>
        <w:t>年中会科技报告填报稿</w:t>
      </w:r>
    </w:p>
    <w:p>
      <w:pPr>
        <w:spacing w:line="360" w:lineRule="auto"/>
        <w:ind w:firstLine="420"/>
      </w:pPr>
      <w:r>
        <w:rPr>
          <w:rFonts w:ascii="宋体" w:hAnsi="宋体" w:eastAsia="宋体"/>
          <w:sz w:val="21"/>
        </w:rPr>
        <w:t>说明：本稿为北京邮电大学承担内容，面向“主配微分区解耦与潮流并行计算功能模块”。算例验证以河北提供的示范区主配网数据为主体，包括13点、20点两个运行断面以及馈线负荷曲线。由于示范区数据未提供微网内部详细台账和实测模型，微网部分采用等值微网模型接入配网PCC，用于验证主配微接口、解耦迭代和微网并行计算流程；获得微网台账后，可在不改变接口和算法框架的前提下替换微网模型参数。</w:t>
      </w:r>
    </w:p>
    <w:p>
      <w:pPr>
        <w:pStyle w:val="Heading1"/>
        <w:spacing w:before="120" w:after="120"/>
      </w:pPr>
      <w:r>
        <w:rPr>
          <w:rFonts w:ascii="黑体" w:hAnsi="黑体" w:eastAsia="黑体"/>
        </w:rPr>
        <w:t>2 主配微分区解耦与潮流并行计算功能模块（北京邮电大学）</w:t>
      </w:r>
    </w:p>
    <w:p>
      <w:pPr>
        <w:pStyle w:val="Heading2"/>
        <w:spacing w:before="120" w:after="120"/>
      </w:pPr>
      <w:r>
        <w:rPr>
          <w:rFonts w:ascii="黑体" w:hAnsi="黑体" w:eastAsia="黑体"/>
        </w:rPr>
        <w:t>2.1 引言</w:t>
      </w:r>
    </w:p>
    <w:p>
      <w:pPr>
        <w:spacing w:line="360" w:lineRule="auto"/>
        <w:ind w:firstLine="420"/>
      </w:pPr>
      <w:r>
        <w:rPr>
          <w:rFonts w:ascii="宋体" w:hAnsi="宋体" w:eastAsia="宋体"/>
          <w:sz w:val="21"/>
        </w:rPr>
        <w:t>随着分布式新能源、电动汽车、储能和微网等资源持续接入，配电网运行状态与上级主网之间的相互影响更加突出。传统潮流计算通常将主网、配网和微网分别处理，或将局部系统等值为静态负荷，难以同时兼顾计算规模、边界耦合和分布式资源响应。面向主配微协同运行，需要建立能够描述主网、配网、微网多层级关系的统一计算框架，并在保证物理边界含义清晰的基础上提升计算效率。</w:t>
      </w:r>
    </w:p>
    <w:p>
      <w:pPr>
        <w:spacing w:line="360" w:lineRule="auto"/>
        <w:ind w:firstLine="420"/>
      </w:pPr>
      <w:r>
        <w:rPr>
          <w:rFonts w:ascii="宋体" w:hAnsi="宋体" w:eastAsia="宋体"/>
          <w:sz w:val="21"/>
        </w:rPr>
        <w:t>北京邮电大学负责的功能模块聚焦“区域划分与解耦”和“并行潮流计算”两项内容。模块目标是在河北示范区主配网算例上，形成从数据接入、主配边界识别、配网智能分区、微网等值接入到并行潮流求解的一体化流程。模块通过API方式对外提供调用能力，调用方输入断面、时刻和计算配置，模块输出主配微潮流结果、分区信息、边界信息、收敛状态和校验指标。</w:t>
      </w:r>
    </w:p>
    <w:p>
      <w:pPr>
        <w:spacing w:line="360" w:lineRule="auto"/>
        <w:ind w:firstLine="420"/>
      </w:pPr>
      <w:r>
        <w:rPr>
          <w:rFonts w:ascii="宋体" w:hAnsi="宋体" w:eastAsia="宋体"/>
          <w:sz w:val="21"/>
        </w:rPr>
        <w:t>本节内容围绕三个层面展开：第一，给出主配微耦合计算的理论模型和边界变量定义；第二，说明基于拓扑图和METIS的配网智能分区方法；第三，基于河北示范区13点和20点断面开展算例验证，说明模块在真实示范区主配网数据上的可运行性和计算结果。</w:t>
      </w:r>
    </w:p>
    <w:p>
      <w:pPr>
        <w:pStyle w:val="Heading2"/>
        <w:spacing w:before="120" w:after="120"/>
      </w:pPr>
      <w:r>
        <w:rPr>
          <w:rFonts w:ascii="黑体" w:hAnsi="黑体" w:eastAsia="黑体"/>
        </w:rPr>
        <w:t>2.2 理论分析</w:t>
      </w:r>
    </w:p>
    <w:p>
      <w:pPr>
        <w:pStyle w:val="Heading3"/>
        <w:spacing w:before="120" w:after="120"/>
      </w:pPr>
      <w:r>
        <w:rPr>
          <w:rFonts w:ascii="黑体" w:hAnsi="黑体" w:eastAsia="黑体"/>
        </w:rPr>
        <w:t>2.2.1 主配微耦合关系建模</w:t>
      </w:r>
    </w:p>
    <w:p>
      <w:pPr>
        <w:spacing w:line="360" w:lineRule="auto"/>
        <w:ind w:firstLine="420"/>
      </w:pPr>
      <w:r>
        <w:rPr>
          <w:rFonts w:ascii="宋体" w:hAnsi="宋体" w:eastAsia="宋体"/>
          <w:sz w:val="21"/>
        </w:rPr>
        <w:t>主配微系统可抽象为三层网络：主网层T、配网层D和微网层M。主网层包括高压侧母线、主网线路、主变高压侧以及平衡节点；配网层包括中低压母线、配电线路、配变、馈线负荷和分布式资源等；微网层包括微网内部低压母线、线路、负荷、光伏、柴油机和储能等设备。三层网络不是简单拼接关系，而是通过少量物理接口相互耦合。</w:t>
      </w:r>
    </w:p>
    <w:p>
      <w:pPr>
        <w:spacing w:line="360" w:lineRule="auto"/>
        <w:ind w:firstLine="420"/>
      </w:pPr>
      <w:r>
        <w:rPr>
          <w:rFonts w:ascii="宋体" w:hAnsi="宋体" w:eastAsia="宋体"/>
          <w:sz w:val="21"/>
        </w:rPr>
        <w:t>主网与配网之间的接口由主配变压器确定。设主网母线集合为 V_T，配网母线集合为 V_D，若某台变压器一侧母线属于 V_T，另一侧母线属于 V_D，则该变压器构成主配边界。主配边界处的耦合变量主要包括边界电压 V_b、边界注入功率 P_b、Q_b。主网计算向配网提供边界电压，配网计算向主网反馈等值功率。</w:t>
      </w:r>
    </w:p>
    <w:p>
      <w:pPr>
        <w:spacing w:line="360" w:lineRule="auto"/>
        <w:ind w:firstLine="420"/>
      </w:pPr>
      <w:r>
        <w:rPr>
          <w:rFonts w:ascii="宋体" w:hAnsi="宋体" w:eastAsia="宋体"/>
          <w:sz w:val="21"/>
        </w:rPr>
        <w:t>配网与微网之间的接口由PCC母线确定。微网内部可以作为独立低压网络求解，其对外只暴露PCC处的等值有功、无功注入。设第m个微网在PCC处电压为 V_m，则微网潮流求解后得到等值注入 P_m^MG(V_m)、Q_m^MG(V_m)。该注入作为配网PCC母线上的等值发电或等值负荷参与配网潮流。</w:t>
      </w:r>
    </w:p>
    <w:p>
      <w:pPr>
        <w:spacing w:line="360" w:lineRule="auto"/>
        <w:ind w:firstLine="420"/>
      </w:pPr>
      <w:r>
        <w:rPr>
          <w:rFonts w:ascii="宋体" w:hAnsi="宋体" w:eastAsia="宋体"/>
          <w:sz w:val="21"/>
        </w:rPr>
        <w:t>因此，主配微协同潮流可表示为：主网潮流方程 F_T(x_T, S_TD)=0，配网分区潮流方程 F_D^k(x_D^k, V_b^k, S_MG^k)=0，微网潮流方程 F_M^m(x_M^m, V_pcc^m)=0。三类方程通过边界电压和等值功率进行信息交换，而不是将所有节点一次性拼接成单一大系统。</w:t>
      </w:r>
    </w:p>
    <w:p>
      <w:pPr>
        <w:pStyle w:val="Heading3"/>
        <w:spacing w:before="120" w:after="120"/>
      </w:pPr>
      <w:r>
        <w:rPr>
          <w:rFonts w:ascii="黑体" w:hAnsi="黑体" w:eastAsia="黑体"/>
        </w:rPr>
        <w:t>2.2.2 基于电网拓扑图的主配边界识别</w:t>
      </w:r>
    </w:p>
    <w:p>
      <w:pPr>
        <w:spacing w:line="360" w:lineRule="auto"/>
        <w:ind w:firstLine="420"/>
      </w:pPr>
      <w:r>
        <w:rPr>
          <w:rFonts w:ascii="宋体" w:hAnsi="宋体" w:eastAsia="宋体"/>
          <w:sz w:val="21"/>
        </w:rPr>
        <w:t>模块首先将pandapower网络模型转换为无向拓扑图 G=(V,E)，其中母线为图节点，线路和变压器为图边。依据电压等级对节点进行主网和配网划分，在河北示范区算例中，电压等级不低于35kV的母线划入主网集合 V_T，低于35kV的母线划入配网集合 V_D。该阈值与示范区模型电压层级相匹配，可将37kV、115kV、230kV侧与10.5kV、1kV侧清晰分开。</w:t>
      </w:r>
    </w:p>
    <w:p>
      <w:pPr>
        <w:spacing w:line="360" w:lineRule="auto"/>
        <w:ind w:firstLine="420"/>
      </w:pPr>
      <w:r>
        <w:rPr>
          <w:rFonts w:ascii="宋体" w:hAnsi="宋体" w:eastAsia="宋体"/>
          <w:sz w:val="21"/>
        </w:rPr>
        <w:t>在完成电压层级识别后，模块遍历所有变压器支路。若变压器两端分别属于主网集合和配网集合，则该变压器被识别为主配边界支路；低压侧母线作为配网侧边界母线，高压侧母线作为主网侧边界母线。该方法不依赖人工填写接口表，能够随模型版本变化自动更新主配接口信息。</w:t>
      </w:r>
    </w:p>
    <w:p>
      <w:pPr>
        <w:spacing w:line="360" w:lineRule="auto"/>
        <w:ind w:firstLine="420"/>
      </w:pPr>
      <w:r>
        <w:rPr>
          <w:rFonts w:ascii="宋体" w:hAnsi="宋体" w:eastAsia="宋体"/>
          <w:sz w:val="21"/>
        </w:rPr>
        <w:t>对河北示范区两个断面识别结果表明，13点和20点断面均包含67个主网母线、70台主配边界变压器和49个配网侧边界母线。主配边界识别结果在两个断面上保持一致，说明该拓扑识别方法具有断面稳定性。</w:t>
      </w:r>
    </w:p>
    <w:p>
      <w:pPr>
        <w:pStyle w:val="Heading3"/>
        <w:spacing w:before="120" w:after="120"/>
      </w:pPr>
      <w:r>
        <w:rPr>
          <w:rFonts w:ascii="黑体" w:hAnsi="黑体" w:eastAsia="黑体"/>
        </w:rPr>
        <w:t>2.2.3 配网智能分区目标函数</w:t>
      </w:r>
    </w:p>
    <w:p>
      <w:pPr>
        <w:spacing w:line="360" w:lineRule="auto"/>
        <w:ind w:firstLine="420"/>
      </w:pPr>
      <w:r>
        <w:rPr>
          <w:rFonts w:ascii="宋体" w:hAnsi="宋体" w:eastAsia="宋体"/>
          <w:sz w:val="21"/>
        </w:rPr>
        <w:t>主配边界切开后，配网子图可能形成多个物理连通分量。仅按连通分量划分虽然物理含义清晰，但部分较大的配网分量仍然会带来计算负荷集中问题。为进一步提升并行效率，模块在主配物理解耦的基础上，对较大的配网连通分量使用METIS图划分算法进行二次分区。</w:t>
      </w:r>
    </w:p>
    <w:p>
      <w:pPr>
        <w:spacing w:line="360" w:lineRule="auto"/>
        <w:ind w:firstLine="420"/>
      </w:pPr>
      <w:r>
        <w:rPr>
          <w:rFonts w:ascii="宋体" w:hAnsi="宋体" w:eastAsia="宋体"/>
          <w:sz w:val="21"/>
        </w:rPr>
        <w:t>METIS分区以加权图为输入。节点权重反映母线侧计算负荷，模块采用母线负荷视在功率构造节点权重；边权重反映电气耦合强度，模块综合线路阻抗、变压器容量和潮流大小构造边权重。边权重越高，说明该边两端节点耦合越强，算法越倾向于将其保留在同一分区内。</w:t>
      </w:r>
    </w:p>
    <w:p>
      <w:pPr>
        <w:spacing w:line="360" w:lineRule="auto"/>
        <w:ind w:firstLine="420"/>
      </w:pPr>
      <w:r>
        <w:rPr>
          <w:rFonts w:ascii="宋体" w:hAnsi="宋体" w:eastAsia="宋体"/>
          <w:sz w:val="21"/>
        </w:rPr>
        <w:t>分区优化目标可概括为：在满足各分区计算规模基本均衡的条件下，最小化分区间加权割边。数学上，可写为 min Σ w_ij I(π_i≠π_j)，同时满足每个分区节点权重接近平均值。其中 w_ij 为边权重，π_i 为节点 i 的分区编号。该目标兼顾了并行计算负载均衡和边界耦合强度控制。</w:t>
      </w:r>
    </w:p>
    <w:p>
      <w:pPr>
        <w:spacing w:line="360" w:lineRule="auto"/>
        <w:ind w:firstLine="420"/>
      </w:pPr>
      <w:r>
        <w:rPr>
          <w:rFonts w:ascii="宋体" w:hAnsi="宋体" w:eastAsia="宋体"/>
          <w:sz w:val="21"/>
        </w:rPr>
        <w:t>由于电网潮流计算要求每个分区具备明确的拓扑连通性，模块在METIS返回分区结果后执行连通性检查。若某个分区被划成多个不连通片段，则按连通片段进行修复；对极小碎片，进一步合并到相邻分区，以避免产生无意义的孤立微分区。修复后每个分区均为拓扑连通区域，能够独立建立局部潮流子问题。</w:t>
      </w:r>
    </w:p>
    <w:p>
      <w:pPr>
        <w:pStyle w:val="Heading3"/>
        <w:spacing w:before="120" w:after="120"/>
      </w:pPr>
      <w:r>
        <w:rPr>
          <w:rFonts w:ascii="黑体" w:hAnsi="黑体" w:eastAsia="黑体"/>
        </w:rPr>
        <w:t>2.2.4 分区解耦潮流计算方法</w:t>
      </w:r>
    </w:p>
    <w:p>
      <w:pPr>
        <w:spacing w:line="360" w:lineRule="auto"/>
        <w:ind w:firstLine="420"/>
      </w:pPr>
      <w:r>
        <w:rPr>
          <w:rFonts w:ascii="宋体" w:hAnsi="宋体" w:eastAsia="宋体"/>
          <w:sz w:val="21"/>
        </w:rPr>
        <w:t>在分区解耦潮流计算中，主网首先整体求解，得到主配边界电压。对每个配网分区，边界母线电压作为固定边界条件写入局部网络。局部潮流子问题只保留本分区内部注入，边界外侧母线仅用于提供电压参考，不重复计入边界外部负荷和电源，从而避免分区重叠导致的功率重复计算。</w:t>
      </w:r>
    </w:p>
    <w:p>
      <w:pPr>
        <w:spacing w:line="360" w:lineRule="auto"/>
        <w:ind w:firstLine="420"/>
      </w:pPr>
      <w:r>
        <w:rPr>
          <w:rFonts w:ascii="宋体" w:hAnsi="宋体" w:eastAsia="宋体"/>
          <w:sz w:val="21"/>
        </w:rPr>
        <w:t>设第k个配网分区的内部母线集合为 V_k，边界母线集合为 B_k，则局部子问题为 F_k(x_k; V_Bk)=0。求解后可获得分区内部母线电压、线路潮流和边界功率。各分区在给定边界电压的条件下互不依赖，因此可以使用进程池并行求解。</w:t>
      </w:r>
    </w:p>
    <w:p>
      <w:pPr>
        <w:spacing w:line="360" w:lineRule="auto"/>
        <w:ind w:firstLine="420"/>
      </w:pPr>
      <w:r>
        <w:rPr>
          <w:rFonts w:ascii="宋体" w:hAnsi="宋体" w:eastAsia="宋体"/>
          <w:sz w:val="21"/>
        </w:rPr>
        <w:t>模块将每个分区封装为独立的pandapower局部网络，自动过滤不属于分区的线路、变压器、负荷和电源，并在边界母线上设置外部电压源。为了提升鲁棒性，局部求解采用多级潮流求解策略，依次尝试牛顿法、Iwamoto牛顿法等配置。当局部网络缺少参考点时，模块自动为孤立子图补充参考母线，保证局部子问题可解。</w:t>
      </w:r>
    </w:p>
    <w:p>
      <w:pPr>
        <w:spacing w:line="360" w:lineRule="auto"/>
        <w:ind w:firstLine="420"/>
      </w:pPr>
      <w:r>
        <w:rPr>
          <w:rFonts w:ascii="宋体" w:hAnsi="宋体" w:eastAsia="宋体"/>
          <w:sz w:val="21"/>
        </w:rPr>
        <w:t>分区并行潮流求解完成后，模块将分区结果与全网潮流结果进行误差核对，输出最大电压幅值偏差和最大相角偏差。该指标用于检验边界解耦后的分区潮流是否与全网基准解一致。河北示范区验证中，两个断面电压幅值最大偏差均在10^-7 pu量级，满足功能验证需要。</w:t>
      </w:r>
    </w:p>
    <w:p>
      <w:pPr>
        <w:pStyle w:val="Heading3"/>
        <w:spacing w:before="120" w:after="120"/>
      </w:pPr>
      <w:r>
        <w:rPr>
          <w:rFonts w:ascii="黑体" w:hAnsi="黑体" w:eastAsia="黑体"/>
        </w:rPr>
        <w:t>2.2.5 微网等值模型与D-MG解耦</w:t>
      </w:r>
    </w:p>
    <w:p>
      <w:pPr>
        <w:spacing w:line="360" w:lineRule="auto"/>
        <w:ind w:firstLine="420"/>
      </w:pPr>
      <w:r>
        <w:rPr>
          <w:rFonts w:ascii="宋体" w:hAnsi="宋体" w:eastAsia="宋体"/>
          <w:sz w:val="21"/>
        </w:rPr>
        <w:t>微网模型采用多母线径向低压网络作为内部模型，默认每个微网包含33个低压母线。微网内部配置分散负荷、光伏等值电源、柴油发电机和储能设备，并以PCC母线处电压作为外部边界条件独立求解。微网求解完成后，对外返回PCC处等值有功和无功注入。</w:t>
      </w:r>
    </w:p>
    <w:p>
      <w:pPr>
        <w:spacing w:line="360" w:lineRule="auto"/>
        <w:ind w:firstLine="420"/>
      </w:pPr>
      <w:r>
        <w:rPr>
          <w:rFonts w:ascii="宋体" w:hAnsi="宋体" w:eastAsia="宋体"/>
          <w:sz w:val="21"/>
        </w:rPr>
        <w:t>微网无功响应采用电压下垂逻辑进行等值表达，即 Q_MG=clip(k_q(1−V_pcc), −Q_max, Q_max)。当PCC电压偏低时，微网提供一定无功支撑；当电压偏高时，微网吸收或减少无功注入。该模型不替代真实微网控制系统，但能够用于验证主配微接口、微网并行求解和等值功率回写流程。</w:t>
      </w:r>
    </w:p>
    <w:p>
      <w:pPr>
        <w:spacing w:line="360" w:lineRule="auto"/>
        <w:ind w:firstLine="420"/>
      </w:pPr>
      <w:r>
        <w:rPr>
          <w:rFonts w:ascii="宋体" w:hAnsi="宋体" w:eastAsia="宋体"/>
          <w:sz w:val="21"/>
        </w:rPr>
        <w:t>在示范区算例中，模块默认选择负荷较大的配网分区作为微网接入候选区，并在候选分区内部选择负荷较大的母线作为PCC。每个微网内部独立求解，多个微网可并行计算。微网等值注入写入PCC母线后，主配网潮流重新求解；默认执行两轮D-MG耦合迭代，以更新PCC电压和微网等值功率。</w:t>
      </w:r>
    </w:p>
    <w:p>
      <w:pPr>
        <w:spacing w:line="360" w:lineRule="auto"/>
        <w:ind w:firstLine="420"/>
      </w:pPr>
      <w:r>
        <w:rPr>
          <w:rFonts w:ascii="宋体" w:hAnsi="宋体" w:eastAsia="宋体"/>
          <w:sz w:val="21"/>
        </w:rPr>
        <w:t>需要说明的是，河北示范区数据目前提供了主配网模型和馈线负荷数据，但未提供真实微网内部台账、控制参数和实测曲线。因此本报告中的微网为等值微网模型，用于功能模块的接口和算法验证。若后续获得真实微网数据，可直接替换微网内部网络、设备参数和控制策略，外部接口仍保持PCC电压输入、P/Q等值输出的形式。</w:t>
      </w:r>
    </w:p>
    <w:p>
      <w:pPr>
        <w:pStyle w:val="Heading2"/>
        <w:spacing w:before="120" w:after="120"/>
      </w:pPr>
      <w:r>
        <w:rPr>
          <w:rFonts w:ascii="黑体" w:hAnsi="黑体" w:eastAsia="黑体"/>
        </w:rPr>
        <w:t>2.3 功能模块设计</w:t>
      </w:r>
    </w:p>
    <w:p>
      <w:pPr>
        <w:pStyle w:val="Heading3"/>
        <w:spacing w:before="120" w:after="120"/>
      </w:pPr>
      <w:r>
        <w:rPr>
          <w:rFonts w:ascii="黑体" w:hAnsi="黑体" w:eastAsia="黑体"/>
        </w:rPr>
        <w:t>2.3.1 数据输入与处理流程</w:t>
      </w:r>
    </w:p>
    <w:p>
      <w:pPr>
        <w:spacing w:line="360" w:lineRule="auto"/>
        <w:ind w:firstLine="420"/>
      </w:pPr>
      <w:r>
        <w:rPr>
          <w:rFonts w:ascii="宋体" w:hAnsi="宋体" w:eastAsia="宋体"/>
          <w:sz w:val="21"/>
        </w:rPr>
        <w:t>模块输入数据包括三类：第一类为河北示范区BPA格式主配网潮流断面数据，模块将其转换为pandapower网络模型；第二类为10kV馈线负荷曲线XLS数据，模块按时刻读取有功、无功负荷并回写至对应母线；第三类为等值微网配置参数，包括是否启用微网、微网数量、微网内部母线数量和耦合迭代次数。</w:t>
      </w:r>
    </w:p>
    <w:p>
      <w:pPr>
        <w:spacing w:line="360" w:lineRule="auto"/>
        <w:ind w:firstLine="420"/>
      </w:pPr>
      <w:r>
        <w:rPr>
          <w:rFonts w:ascii="宋体" w:hAnsi="宋体" w:eastAsia="宋体"/>
          <w:sz w:val="21"/>
        </w:rPr>
        <w:t>数据处理流程为：读取断面数据，完成BPA到pandapower模型转换；读取馈线负荷曲线，按13:00或20:00等时刻更新负荷；执行基础主配网潮流；识别主配边界和配网物理连通分量；对大规模配网连通分量执行METIS智能分区；选取微网PCC并求解微网等值注入；重算主配网潮流；最后执行配网分区并行潮流和结果校验。</w:t>
      </w:r>
    </w:p>
    <w:p>
      <w:pPr>
        <w:spacing w:line="360" w:lineRule="auto"/>
        <w:ind w:firstLine="420"/>
      </w:pPr>
      <w:r>
        <w:rPr>
          <w:rFonts w:ascii="宋体" w:hAnsi="宋体" w:eastAsia="宋体"/>
          <w:sz w:val="21"/>
        </w:rPr>
        <w:t>模块输出包括全网潮流收敛状态、母线电压范围、线路和变压器最大负载率、主配边界数量、配网分区数量、METIS切边和修复信息、微网接入数量、微网等值注入功率、分区并行收敛数量及误差校验指标。</w:t>
      </w:r>
    </w:p>
    <w:p>
      <w:pPr>
        <w:spacing w:line="360" w:lineRule="auto"/>
        <w:ind w:firstLine="420"/>
      </w:pPr>
      <w:r>
        <w:rPr>
          <w:rFonts w:ascii="宋体" w:hAnsi="宋体" w:eastAsia="宋体"/>
          <w:sz w:val="21"/>
        </w:rPr>
        <w:t>表 2-1 模块输入数据及用途</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宋体" w:hAnsi="宋体" w:eastAsia="宋体"/>
                <w:sz w:val="18"/>
              </w:rPr>
              <w:t>输入数据</w:t>
            </w:r>
          </w:p>
        </w:tc>
        <w:tc>
          <w:tcPr>
            <w:tcW w:type="dxa" w:w="3120"/>
          </w:tcPr>
          <w:p>
            <w:r>
              <w:rPr>
                <w:rFonts w:ascii="宋体" w:hAnsi="宋体" w:eastAsia="宋体"/>
                <w:sz w:val="18"/>
              </w:rPr>
              <w:t>用途</w:t>
            </w:r>
          </w:p>
        </w:tc>
        <w:tc>
          <w:tcPr>
            <w:tcW w:type="dxa" w:w="3120"/>
          </w:tcPr>
          <w:p>
            <w:r>
              <w:rPr>
                <w:rFonts w:ascii="宋体" w:hAnsi="宋体" w:eastAsia="宋体"/>
                <w:sz w:val="18"/>
              </w:rPr>
              <w:t>来源或说明</w:t>
            </w:r>
          </w:p>
        </w:tc>
      </w:tr>
      <w:tr>
        <w:tc>
          <w:tcPr>
            <w:tcW w:type="dxa" w:w="3120"/>
          </w:tcPr>
          <w:p>
            <w:r>
              <w:rPr>
                <w:rFonts w:ascii="宋体" w:hAnsi="宋体" w:eastAsia="宋体"/>
                <w:sz w:val="18"/>
              </w:rPr>
              <w:t>BPA主配网DAT断面</w:t>
            </w:r>
          </w:p>
        </w:tc>
        <w:tc>
          <w:tcPr>
            <w:tcW w:type="dxa" w:w="3120"/>
          </w:tcPr>
          <w:p>
            <w:r>
              <w:rPr>
                <w:rFonts w:ascii="宋体" w:hAnsi="宋体" w:eastAsia="宋体"/>
                <w:sz w:val="18"/>
              </w:rPr>
              <w:t>形成主配网拓扑、设备参数和初始运行断面</w:t>
            </w:r>
          </w:p>
        </w:tc>
        <w:tc>
          <w:tcPr>
            <w:tcW w:type="dxa" w:w="3120"/>
          </w:tcPr>
          <w:p>
            <w:r>
              <w:rPr>
                <w:rFonts w:ascii="宋体" w:hAnsi="宋体" w:eastAsia="宋体"/>
                <w:sz w:val="18"/>
              </w:rPr>
              <w:t>河北示范区13点、20点算例</w:t>
            </w:r>
          </w:p>
        </w:tc>
      </w:tr>
      <w:tr>
        <w:tc>
          <w:tcPr>
            <w:tcW w:type="dxa" w:w="3120"/>
          </w:tcPr>
          <w:p>
            <w:r>
              <w:rPr>
                <w:rFonts w:ascii="宋体" w:hAnsi="宋体" w:eastAsia="宋体"/>
                <w:sz w:val="18"/>
              </w:rPr>
              <w:t>10kV馈线XLS负荷曲线</w:t>
            </w:r>
          </w:p>
        </w:tc>
        <w:tc>
          <w:tcPr>
            <w:tcW w:type="dxa" w:w="3120"/>
          </w:tcPr>
          <w:p>
            <w:r>
              <w:rPr>
                <w:rFonts w:ascii="宋体" w:hAnsi="宋体" w:eastAsia="宋体"/>
                <w:sz w:val="18"/>
              </w:rPr>
              <w:t>按指定时刻更新馈线节点有功、无功负荷</w:t>
            </w:r>
          </w:p>
        </w:tc>
        <w:tc>
          <w:tcPr>
            <w:tcW w:type="dxa" w:w="3120"/>
          </w:tcPr>
          <w:p>
            <w:r>
              <w:rPr>
                <w:rFonts w:ascii="宋体" w:hAnsi="宋体" w:eastAsia="宋体"/>
                <w:sz w:val="18"/>
              </w:rPr>
              <w:t>河北示范区馈线负荷数据</w:t>
            </w:r>
          </w:p>
        </w:tc>
      </w:tr>
      <w:tr>
        <w:tc>
          <w:tcPr>
            <w:tcW w:type="dxa" w:w="3120"/>
          </w:tcPr>
          <w:p>
            <w:r>
              <w:rPr>
                <w:rFonts w:ascii="宋体" w:hAnsi="宋体" w:eastAsia="宋体"/>
                <w:sz w:val="18"/>
              </w:rPr>
              <w:t>计算配置参数</w:t>
            </w:r>
          </w:p>
        </w:tc>
        <w:tc>
          <w:tcPr>
            <w:tcW w:type="dxa" w:w="3120"/>
          </w:tcPr>
          <w:p>
            <w:r>
              <w:rPr>
                <w:rFonts w:ascii="宋体" w:hAnsi="宋体" w:eastAsia="宋体"/>
                <w:sz w:val="18"/>
              </w:rPr>
              <w:t>控制断面、时刻、分区模式、微网数量和并行选项</w:t>
            </w:r>
          </w:p>
        </w:tc>
        <w:tc>
          <w:tcPr>
            <w:tcW w:type="dxa" w:w="3120"/>
          </w:tcPr>
          <w:p>
            <w:r>
              <w:rPr>
                <w:rFonts w:ascii="宋体" w:hAnsi="宋体" w:eastAsia="宋体"/>
                <w:sz w:val="18"/>
              </w:rPr>
              <w:t>API调用参数</w:t>
            </w:r>
          </w:p>
        </w:tc>
      </w:tr>
      <w:tr>
        <w:tc>
          <w:tcPr>
            <w:tcW w:type="dxa" w:w="3120"/>
          </w:tcPr>
          <w:p>
            <w:r>
              <w:rPr>
                <w:rFonts w:ascii="宋体" w:hAnsi="宋体" w:eastAsia="宋体"/>
                <w:sz w:val="18"/>
              </w:rPr>
              <w:t>等值微网参数</w:t>
            </w:r>
          </w:p>
        </w:tc>
        <w:tc>
          <w:tcPr>
            <w:tcW w:type="dxa" w:w="3120"/>
          </w:tcPr>
          <w:p>
            <w:r>
              <w:rPr>
                <w:rFonts w:ascii="宋体" w:hAnsi="宋体" w:eastAsia="宋体"/>
                <w:sz w:val="18"/>
              </w:rPr>
              <w:t>构建微网内部pandapower模型并返回PCC等值注入</w:t>
            </w:r>
          </w:p>
        </w:tc>
        <w:tc>
          <w:tcPr>
            <w:tcW w:type="dxa" w:w="3120"/>
          </w:tcPr>
          <w:p>
            <w:r>
              <w:rPr>
                <w:rFonts w:ascii="宋体" w:hAnsi="宋体" w:eastAsia="宋体"/>
                <w:sz w:val="18"/>
              </w:rPr>
              <w:t>功能验证模型，可替换为真实微网数据</w:t>
            </w:r>
          </w:p>
        </w:tc>
      </w:tr>
    </w:tbl>
    <w:p>
      <w:pPr>
        <w:pStyle w:val="Heading3"/>
        <w:spacing w:before="120" w:after="120"/>
      </w:pPr>
      <w:r>
        <w:rPr>
          <w:rFonts w:ascii="黑体" w:hAnsi="黑体" w:eastAsia="黑体"/>
        </w:rPr>
        <w:t>2.3.2 API接口设计</w:t>
      </w:r>
    </w:p>
    <w:p>
      <w:pPr>
        <w:spacing w:line="360" w:lineRule="auto"/>
        <w:ind w:firstLine="420"/>
      </w:pPr>
      <w:r>
        <w:rPr>
          <w:rFonts w:ascii="宋体" w:hAnsi="宋体" w:eastAsia="宋体"/>
          <w:sz w:val="21"/>
        </w:rPr>
        <w:t>模块通过本地HTTP API对外提供服务。启动入口为start_api.py，调用入口为call_api.py。对接方可通过POST /api/v1/gmss/run提交任务，模块返回统一JSON结果。接口入参采用紧凑格式，调用方无需了解内部pandapower对象、METIS分区细节和微网缓存文件路径。</w:t>
      </w:r>
    </w:p>
    <w:p>
      <w:pPr>
        <w:spacing w:line="360" w:lineRule="auto"/>
        <w:ind w:firstLine="420"/>
      </w:pPr>
      <w:r>
        <w:rPr>
          <w:rFonts w:ascii="宋体" w:hAnsi="宋体" w:eastAsia="宋体"/>
          <w:sz w:val="21"/>
        </w:rPr>
        <w:t>示范区默认参数包括：dataset_id=demo_area，scenario_id为13点或20点，d_partition_mode=metis，d_target_buses_per_part=150，enable_microgrid=True，demo_mg_count=6，mg_bus_count=33，mg_coupling_iterations=2。若需关闭微网验证，可设置enable_microgrid=False。</w:t>
      </w:r>
    </w:p>
    <w:p>
      <w:pPr>
        <w:spacing w:line="360" w:lineRule="auto"/>
        <w:ind w:firstLine="420"/>
      </w:pPr>
      <w:r>
        <w:rPr>
          <w:rFonts w:ascii="宋体" w:hAnsi="宋体" w:eastAsia="宋体"/>
          <w:sz w:val="21"/>
        </w:rPr>
        <w:t>表 2-2 API主要输入参数</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宋体" w:hAnsi="宋体" w:eastAsia="宋体"/>
                <w:sz w:val="18"/>
              </w:rPr>
              <w:t>参数</w:t>
            </w:r>
          </w:p>
        </w:tc>
        <w:tc>
          <w:tcPr>
            <w:tcW w:type="dxa" w:w="3120"/>
          </w:tcPr>
          <w:p>
            <w:r>
              <w:rPr>
                <w:rFonts w:ascii="宋体" w:hAnsi="宋体" w:eastAsia="宋体"/>
                <w:sz w:val="18"/>
              </w:rPr>
              <w:t>示例值</w:t>
            </w:r>
          </w:p>
        </w:tc>
        <w:tc>
          <w:tcPr>
            <w:tcW w:type="dxa" w:w="3120"/>
          </w:tcPr>
          <w:p>
            <w:r>
              <w:rPr>
                <w:rFonts w:ascii="宋体" w:hAnsi="宋体" w:eastAsia="宋体"/>
                <w:sz w:val="18"/>
              </w:rPr>
              <w:t>含义</w:t>
            </w:r>
          </w:p>
        </w:tc>
      </w:tr>
      <w:tr>
        <w:tc>
          <w:tcPr>
            <w:tcW w:type="dxa" w:w="3120"/>
          </w:tcPr>
          <w:p>
            <w:r>
              <w:rPr>
                <w:rFonts w:ascii="宋体" w:hAnsi="宋体" w:eastAsia="宋体"/>
                <w:sz w:val="18"/>
              </w:rPr>
              <w:t>dataset_id</w:t>
            </w:r>
          </w:p>
        </w:tc>
        <w:tc>
          <w:tcPr>
            <w:tcW w:type="dxa" w:w="3120"/>
          </w:tcPr>
          <w:p>
            <w:r>
              <w:rPr>
                <w:rFonts w:ascii="宋体" w:hAnsi="宋体" w:eastAsia="宋体"/>
                <w:sz w:val="18"/>
              </w:rPr>
              <w:t>demo_area</w:t>
            </w:r>
          </w:p>
        </w:tc>
        <w:tc>
          <w:tcPr>
            <w:tcW w:type="dxa" w:w="3120"/>
          </w:tcPr>
          <w:p>
            <w:r>
              <w:rPr>
                <w:rFonts w:ascii="宋体" w:hAnsi="宋体" w:eastAsia="宋体"/>
                <w:sz w:val="18"/>
              </w:rPr>
              <w:t>选择河北示范区数据集</w:t>
            </w:r>
          </w:p>
        </w:tc>
      </w:tr>
      <w:tr>
        <w:tc>
          <w:tcPr>
            <w:tcW w:type="dxa" w:w="3120"/>
          </w:tcPr>
          <w:p>
            <w:r>
              <w:rPr>
                <w:rFonts w:ascii="宋体" w:hAnsi="宋体" w:eastAsia="宋体"/>
                <w:sz w:val="18"/>
              </w:rPr>
              <w:t>scenario_id</w:t>
            </w:r>
          </w:p>
        </w:tc>
        <w:tc>
          <w:tcPr>
            <w:tcW w:type="dxa" w:w="3120"/>
          </w:tcPr>
          <w:p>
            <w:r>
              <w:rPr>
                <w:rFonts w:ascii="宋体" w:hAnsi="宋体" w:eastAsia="宋体"/>
                <w:sz w:val="18"/>
              </w:rPr>
              <w:t>13点/20点</w:t>
            </w:r>
          </w:p>
        </w:tc>
        <w:tc>
          <w:tcPr>
            <w:tcW w:type="dxa" w:w="3120"/>
          </w:tcPr>
          <w:p>
            <w:r>
              <w:rPr>
                <w:rFonts w:ascii="宋体" w:hAnsi="宋体" w:eastAsia="宋体"/>
                <w:sz w:val="18"/>
              </w:rPr>
              <w:t>选择运行断面</w:t>
            </w:r>
          </w:p>
        </w:tc>
      </w:tr>
      <w:tr>
        <w:tc>
          <w:tcPr>
            <w:tcW w:type="dxa" w:w="3120"/>
          </w:tcPr>
          <w:p>
            <w:r>
              <w:rPr>
                <w:rFonts w:ascii="宋体" w:hAnsi="宋体" w:eastAsia="宋体"/>
                <w:sz w:val="18"/>
              </w:rPr>
              <w:t>time_point</w:t>
            </w:r>
          </w:p>
        </w:tc>
        <w:tc>
          <w:tcPr>
            <w:tcW w:type="dxa" w:w="3120"/>
          </w:tcPr>
          <w:p>
            <w:r>
              <w:rPr>
                <w:rFonts w:ascii="宋体" w:hAnsi="宋体" w:eastAsia="宋体"/>
                <w:sz w:val="18"/>
              </w:rPr>
              <w:t>13:00/20:00</w:t>
            </w:r>
          </w:p>
        </w:tc>
        <w:tc>
          <w:tcPr>
            <w:tcW w:type="dxa" w:w="3120"/>
          </w:tcPr>
          <w:p>
            <w:r>
              <w:rPr>
                <w:rFonts w:ascii="宋体" w:hAnsi="宋体" w:eastAsia="宋体"/>
                <w:sz w:val="18"/>
              </w:rPr>
              <w:t>选择馈线负荷曲线时刻</w:t>
            </w:r>
          </w:p>
        </w:tc>
      </w:tr>
      <w:tr>
        <w:tc>
          <w:tcPr>
            <w:tcW w:type="dxa" w:w="3120"/>
          </w:tcPr>
          <w:p>
            <w:r>
              <w:rPr>
                <w:rFonts w:ascii="宋体" w:hAnsi="宋体" w:eastAsia="宋体"/>
                <w:sz w:val="18"/>
              </w:rPr>
              <w:t>d_partition_mode</w:t>
            </w:r>
          </w:p>
        </w:tc>
        <w:tc>
          <w:tcPr>
            <w:tcW w:type="dxa" w:w="3120"/>
          </w:tcPr>
          <w:p>
            <w:r>
              <w:rPr>
                <w:rFonts w:ascii="宋体" w:hAnsi="宋体" w:eastAsia="宋体"/>
                <w:sz w:val="18"/>
              </w:rPr>
              <w:t>metis</w:t>
            </w:r>
          </w:p>
        </w:tc>
        <w:tc>
          <w:tcPr>
            <w:tcW w:type="dxa" w:w="3120"/>
          </w:tcPr>
          <w:p>
            <w:r>
              <w:rPr>
                <w:rFonts w:ascii="宋体" w:hAnsi="宋体" w:eastAsia="宋体"/>
                <w:sz w:val="18"/>
              </w:rPr>
              <w:t>启用METIS配网智能分区</w:t>
            </w:r>
          </w:p>
        </w:tc>
      </w:tr>
      <w:tr>
        <w:tc>
          <w:tcPr>
            <w:tcW w:type="dxa" w:w="3120"/>
          </w:tcPr>
          <w:p>
            <w:r>
              <w:rPr>
                <w:rFonts w:ascii="宋体" w:hAnsi="宋体" w:eastAsia="宋体"/>
                <w:sz w:val="18"/>
              </w:rPr>
              <w:t>enable_microgrid</w:t>
            </w:r>
          </w:p>
        </w:tc>
        <w:tc>
          <w:tcPr>
            <w:tcW w:type="dxa" w:w="3120"/>
          </w:tcPr>
          <w:p>
            <w:r>
              <w:rPr>
                <w:rFonts w:ascii="宋体" w:hAnsi="宋体" w:eastAsia="宋体"/>
                <w:sz w:val="18"/>
              </w:rPr>
              <w:t>true</w:t>
            </w:r>
          </w:p>
        </w:tc>
        <w:tc>
          <w:tcPr>
            <w:tcW w:type="dxa" w:w="3120"/>
          </w:tcPr>
          <w:p>
            <w:r>
              <w:rPr>
                <w:rFonts w:ascii="宋体" w:hAnsi="宋体" w:eastAsia="宋体"/>
                <w:sz w:val="18"/>
              </w:rPr>
              <w:t>启用等值微网接入验证</w:t>
            </w:r>
          </w:p>
        </w:tc>
      </w:tr>
      <w:tr>
        <w:tc>
          <w:tcPr>
            <w:tcW w:type="dxa" w:w="3120"/>
          </w:tcPr>
          <w:p>
            <w:r>
              <w:rPr>
                <w:rFonts w:ascii="宋体" w:hAnsi="宋体" w:eastAsia="宋体"/>
                <w:sz w:val="18"/>
              </w:rPr>
              <w:t>demo_mg_count</w:t>
            </w:r>
          </w:p>
        </w:tc>
        <w:tc>
          <w:tcPr>
            <w:tcW w:type="dxa" w:w="3120"/>
          </w:tcPr>
          <w:p>
            <w:r>
              <w:rPr>
                <w:rFonts w:ascii="宋体" w:hAnsi="宋体" w:eastAsia="宋体"/>
                <w:sz w:val="18"/>
              </w:rPr>
              <w:t>6</w:t>
            </w:r>
          </w:p>
        </w:tc>
        <w:tc>
          <w:tcPr>
            <w:tcW w:type="dxa" w:w="3120"/>
          </w:tcPr>
          <w:p>
            <w:r>
              <w:rPr>
                <w:rFonts w:ascii="宋体" w:hAnsi="宋体" w:eastAsia="宋体"/>
                <w:sz w:val="18"/>
              </w:rPr>
              <w:t>示范区接入等值微网数量</w:t>
            </w:r>
          </w:p>
        </w:tc>
      </w:tr>
      <w:tr>
        <w:tc>
          <w:tcPr>
            <w:tcW w:type="dxa" w:w="3120"/>
          </w:tcPr>
          <w:p>
            <w:r>
              <w:rPr>
                <w:rFonts w:ascii="宋体" w:hAnsi="宋体" w:eastAsia="宋体"/>
                <w:sz w:val="18"/>
              </w:rPr>
              <w:t>mg_bus_count</w:t>
            </w:r>
          </w:p>
        </w:tc>
        <w:tc>
          <w:tcPr>
            <w:tcW w:type="dxa" w:w="3120"/>
          </w:tcPr>
          <w:p>
            <w:r>
              <w:rPr>
                <w:rFonts w:ascii="宋体" w:hAnsi="宋体" w:eastAsia="宋体"/>
                <w:sz w:val="18"/>
              </w:rPr>
              <w:t>33</w:t>
            </w:r>
          </w:p>
        </w:tc>
        <w:tc>
          <w:tcPr>
            <w:tcW w:type="dxa" w:w="3120"/>
          </w:tcPr>
          <w:p>
            <w:r>
              <w:rPr>
                <w:rFonts w:ascii="宋体" w:hAnsi="宋体" w:eastAsia="宋体"/>
                <w:sz w:val="18"/>
              </w:rPr>
              <w:t>每个微网内部母线数量</w:t>
            </w:r>
          </w:p>
        </w:tc>
      </w:tr>
      <w:tr>
        <w:tc>
          <w:tcPr>
            <w:tcW w:type="dxa" w:w="3120"/>
          </w:tcPr>
          <w:p>
            <w:r>
              <w:rPr>
                <w:rFonts w:ascii="宋体" w:hAnsi="宋体" w:eastAsia="宋体"/>
                <w:sz w:val="18"/>
              </w:rPr>
              <w:t>mg_coupling_iterations</w:t>
            </w:r>
          </w:p>
        </w:tc>
        <w:tc>
          <w:tcPr>
            <w:tcW w:type="dxa" w:w="3120"/>
          </w:tcPr>
          <w:p>
            <w:r>
              <w:rPr>
                <w:rFonts w:ascii="宋体" w:hAnsi="宋体" w:eastAsia="宋体"/>
                <w:sz w:val="18"/>
              </w:rPr>
              <w:t>2</w:t>
            </w:r>
          </w:p>
        </w:tc>
        <w:tc>
          <w:tcPr>
            <w:tcW w:type="dxa" w:w="3120"/>
          </w:tcPr>
          <w:p>
            <w:r>
              <w:rPr>
                <w:rFonts w:ascii="宋体" w:hAnsi="宋体" w:eastAsia="宋体"/>
                <w:sz w:val="18"/>
              </w:rPr>
              <w:t>D-MG耦合迭代次数</w:t>
            </w:r>
          </w:p>
        </w:tc>
      </w:tr>
    </w:tbl>
    <w:p>
      <w:pPr>
        <w:pStyle w:val="Heading3"/>
        <w:spacing w:before="120" w:after="120"/>
      </w:pPr>
      <w:r>
        <w:rPr>
          <w:rFonts w:ascii="黑体" w:hAnsi="黑体" w:eastAsia="黑体"/>
        </w:rPr>
        <w:t>2.3.3 并行计算实现</w:t>
      </w:r>
    </w:p>
    <w:p>
      <w:pPr>
        <w:spacing w:line="360" w:lineRule="auto"/>
        <w:ind w:firstLine="420"/>
      </w:pPr>
      <w:r>
        <w:rPr>
          <w:rFonts w:ascii="宋体" w:hAnsi="宋体" w:eastAsia="宋体"/>
          <w:sz w:val="21"/>
        </w:rPr>
        <w:t>并行计算包括配网分区并行和微网并行两个部分。配网分区并行以METIS分区结果为任务单元，每个任务包含本分区母线集合、边界电压和局部网络数据。模块使用进程池并行提交局部潮流任务，并在所有任务完成后汇总收敛状态和电压误差。</w:t>
      </w:r>
    </w:p>
    <w:p>
      <w:pPr>
        <w:spacing w:line="360" w:lineRule="auto"/>
        <w:ind w:firstLine="420"/>
      </w:pPr>
      <w:r>
        <w:rPr>
          <w:rFonts w:ascii="宋体" w:hAnsi="宋体" w:eastAsia="宋体"/>
          <w:sz w:val="21"/>
        </w:rPr>
        <w:t>微网并行以微网PCC为任务单元，每个任务读取对应微网内部模型，在给定PCC电压下独立求解潮流并返回等值P/Q。由于各微网之间没有直接电气连接，微网求解天然具备并行性。模块默认在多个微网场景下启用进程并行。</w:t>
      </w:r>
    </w:p>
    <w:p>
      <w:pPr>
        <w:spacing w:line="360" w:lineRule="auto"/>
        <w:ind w:firstLine="420"/>
      </w:pPr>
      <w:r>
        <w:rPr>
          <w:rFonts w:ascii="宋体" w:hAnsi="宋体" w:eastAsia="宋体"/>
          <w:sz w:val="21"/>
        </w:rPr>
        <w:t>主网部分在当前河北示范区算例中规模较小，采用整体pandapower潮流直接求解；配网侧规模较大且存在多个物理连通片区，因此重点在配网侧开展智能分区和并行潮流。该设计符合当前示范区算例结构，也避免为了形式上分主网而引入不必要的复杂度。</w:t>
      </w:r>
    </w:p>
    <w:p>
      <w:pPr>
        <w:pStyle w:val="Heading2"/>
        <w:spacing w:before="120" w:after="120"/>
      </w:pPr>
      <w:r>
        <w:rPr>
          <w:rFonts w:ascii="黑体" w:hAnsi="黑体" w:eastAsia="黑体"/>
        </w:rPr>
        <w:t>2.4 河北示范区算例验证</w:t>
      </w:r>
    </w:p>
    <w:p>
      <w:pPr>
        <w:pStyle w:val="Heading3"/>
        <w:spacing w:before="120" w:after="120"/>
      </w:pPr>
      <w:r>
        <w:rPr>
          <w:rFonts w:ascii="黑体" w:hAnsi="黑体" w:eastAsia="黑体"/>
        </w:rPr>
        <w:t>2.4.1 算例数据说明</w:t>
      </w:r>
    </w:p>
    <w:p>
      <w:pPr>
        <w:spacing w:line="360" w:lineRule="auto"/>
        <w:ind w:firstLine="420"/>
      </w:pPr>
      <w:r>
        <w:rPr>
          <w:rFonts w:ascii="宋体" w:hAnsi="宋体" w:eastAsia="宋体"/>
          <w:sz w:val="21"/>
        </w:rPr>
        <w:t>本次验证采用河北提供的示范区算例，包含13点和20点两个主配网潮流断面。经转换后，13点断面包含2121个主配网母线、2036条线路、73台变压器；20点断面包含2122个主配网母线、2038条线路、73台变压器。两个断面均识别出67个主网母线、70台主配边界变压器和49个配网物理连通分量。</w:t>
      </w:r>
    </w:p>
    <w:p>
      <w:pPr>
        <w:spacing w:line="360" w:lineRule="auto"/>
        <w:ind w:firstLine="420"/>
      </w:pPr>
      <w:r>
        <w:rPr>
          <w:rFonts w:ascii="宋体" w:hAnsi="宋体" w:eastAsia="宋体"/>
          <w:sz w:val="21"/>
        </w:rPr>
        <w:t>馈线负荷数据来自示范区10kV馈线XLS文件。模块在13点断面默认读取13:00负荷曲线，在20点断面默认读取20:00负荷曲线。当前可匹配并回写1559条馈线负荷记录，少量未匹配记录主要由母线命名差异导致，不影响模块主流程验证。</w:t>
      </w:r>
    </w:p>
    <w:p>
      <w:pPr>
        <w:spacing w:line="360" w:lineRule="auto"/>
        <w:ind w:firstLine="420"/>
      </w:pPr>
      <w:r>
        <w:rPr>
          <w:rFonts w:ascii="宋体" w:hAnsi="宋体" w:eastAsia="宋体"/>
          <w:sz w:val="21"/>
        </w:rPr>
        <w:t>微网部分在两个断面均接入6个等值微网，每个微网内部包含33个低压母线，合计198个微网内部节点。微网接入后，13点断面逻辑总节点数为2319，20点断面逻辑总节点数为2320。微网PCC由负荷较大的配网分区自动选择。</w:t>
      </w:r>
    </w:p>
    <w:p>
      <w:pPr>
        <w:spacing w:line="360" w:lineRule="auto"/>
        <w:ind w:firstLine="420"/>
      </w:pPr>
      <w:r>
        <w:rPr>
          <w:rFonts w:ascii="宋体" w:hAnsi="宋体" w:eastAsia="宋体"/>
          <w:sz w:val="21"/>
        </w:rPr>
        <w:t>表 2-3 河北示范区算例规模</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宋体" w:hAnsi="宋体" w:eastAsia="宋体"/>
                <w:sz w:val="18"/>
              </w:rPr>
              <w:t>指标</w:t>
            </w:r>
          </w:p>
        </w:tc>
        <w:tc>
          <w:tcPr>
            <w:tcW w:type="dxa" w:w="3120"/>
          </w:tcPr>
          <w:p>
            <w:r>
              <w:rPr>
                <w:rFonts w:ascii="宋体" w:hAnsi="宋体" w:eastAsia="宋体"/>
                <w:sz w:val="18"/>
              </w:rPr>
              <w:t>13点断面</w:t>
            </w:r>
          </w:p>
        </w:tc>
        <w:tc>
          <w:tcPr>
            <w:tcW w:type="dxa" w:w="3120"/>
          </w:tcPr>
          <w:p>
            <w:r>
              <w:rPr>
                <w:rFonts w:ascii="宋体" w:hAnsi="宋体" w:eastAsia="宋体"/>
                <w:sz w:val="18"/>
              </w:rPr>
              <w:t>20点断面</w:t>
            </w:r>
          </w:p>
        </w:tc>
      </w:tr>
      <w:tr>
        <w:tc>
          <w:tcPr>
            <w:tcW w:type="dxa" w:w="3120"/>
          </w:tcPr>
          <w:p>
            <w:r>
              <w:rPr>
                <w:rFonts w:ascii="宋体" w:hAnsi="宋体" w:eastAsia="宋体"/>
                <w:sz w:val="18"/>
              </w:rPr>
              <w:t>主配网母线数</w:t>
            </w:r>
          </w:p>
        </w:tc>
        <w:tc>
          <w:tcPr>
            <w:tcW w:type="dxa" w:w="3120"/>
          </w:tcPr>
          <w:p>
            <w:r>
              <w:rPr>
                <w:rFonts w:ascii="宋体" w:hAnsi="宋体" w:eastAsia="宋体"/>
                <w:sz w:val="18"/>
              </w:rPr>
              <w:t>2121</w:t>
            </w:r>
          </w:p>
        </w:tc>
        <w:tc>
          <w:tcPr>
            <w:tcW w:type="dxa" w:w="3120"/>
          </w:tcPr>
          <w:p>
            <w:r>
              <w:rPr>
                <w:rFonts w:ascii="宋体" w:hAnsi="宋体" w:eastAsia="宋体"/>
                <w:sz w:val="18"/>
              </w:rPr>
              <w:t>2122</w:t>
            </w:r>
          </w:p>
        </w:tc>
      </w:tr>
      <w:tr>
        <w:tc>
          <w:tcPr>
            <w:tcW w:type="dxa" w:w="3120"/>
          </w:tcPr>
          <w:p>
            <w:r>
              <w:rPr>
                <w:rFonts w:ascii="宋体" w:hAnsi="宋体" w:eastAsia="宋体"/>
                <w:sz w:val="18"/>
              </w:rPr>
              <w:t>线路数</w:t>
            </w:r>
          </w:p>
        </w:tc>
        <w:tc>
          <w:tcPr>
            <w:tcW w:type="dxa" w:w="3120"/>
          </w:tcPr>
          <w:p>
            <w:r>
              <w:rPr>
                <w:rFonts w:ascii="宋体" w:hAnsi="宋体" w:eastAsia="宋体"/>
                <w:sz w:val="18"/>
              </w:rPr>
              <w:t>2036</w:t>
            </w:r>
          </w:p>
        </w:tc>
        <w:tc>
          <w:tcPr>
            <w:tcW w:type="dxa" w:w="3120"/>
          </w:tcPr>
          <w:p>
            <w:r>
              <w:rPr>
                <w:rFonts w:ascii="宋体" w:hAnsi="宋体" w:eastAsia="宋体"/>
                <w:sz w:val="18"/>
              </w:rPr>
              <w:t>2038</w:t>
            </w:r>
          </w:p>
        </w:tc>
      </w:tr>
      <w:tr>
        <w:tc>
          <w:tcPr>
            <w:tcW w:type="dxa" w:w="3120"/>
          </w:tcPr>
          <w:p>
            <w:r>
              <w:rPr>
                <w:rFonts w:ascii="宋体" w:hAnsi="宋体" w:eastAsia="宋体"/>
                <w:sz w:val="18"/>
              </w:rPr>
              <w:t>变压器数</w:t>
            </w:r>
          </w:p>
        </w:tc>
        <w:tc>
          <w:tcPr>
            <w:tcW w:type="dxa" w:w="3120"/>
          </w:tcPr>
          <w:p>
            <w:r>
              <w:rPr>
                <w:rFonts w:ascii="宋体" w:hAnsi="宋体" w:eastAsia="宋体"/>
                <w:sz w:val="18"/>
              </w:rPr>
              <w:t>73</w:t>
            </w:r>
          </w:p>
        </w:tc>
        <w:tc>
          <w:tcPr>
            <w:tcW w:type="dxa" w:w="3120"/>
          </w:tcPr>
          <w:p>
            <w:r>
              <w:rPr>
                <w:rFonts w:ascii="宋体" w:hAnsi="宋体" w:eastAsia="宋体"/>
                <w:sz w:val="18"/>
              </w:rPr>
              <w:t>73</w:t>
            </w:r>
          </w:p>
        </w:tc>
      </w:tr>
      <w:tr>
        <w:tc>
          <w:tcPr>
            <w:tcW w:type="dxa" w:w="3120"/>
          </w:tcPr>
          <w:p>
            <w:r>
              <w:rPr>
                <w:rFonts w:ascii="宋体" w:hAnsi="宋体" w:eastAsia="宋体"/>
                <w:sz w:val="18"/>
              </w:rPr>
              <w:t>主网母线数</w:t>
            </w:r>
          </w:p>
        </w:tc>
        <w:tc>
          <w:tcPr>
            <w:tcW w:type="dxa" w:w="3120"/>
          </w:tcPr>
          <w:p>
            <w:r>
              <w:rPr>
                <w:rFonts w:ascii="宋体" w:hAnsi="宋体" w:eastAsia="宋体"/>
                <w:sz w:val="18"/>
              </w:rPr>
              <w:t>67</w:t>
            </w:r>
          </w:p>
        </w:tc>
        <w:tc>
          <w:tcPr>
            <w:tcW w:type="dxa" w:w="3120"/>
          </w:tcPr>
          <w:p>
            <w:r>
              <w:rPr>
                <w:rFonts w:ascii="宋体" w:hAnsi="宋体" w:eastAsia="宋体"/>
                <w:sz w:val="18"/>
              </w:rPr>
              <w:t>67</w:t>
            </w:r>
          </w:p>
        </w:tc>
      </w:tr>
      <w:tr>
        <w:tc>
          <w:tcPr>
            <w:tcW w:type="dxa" w:w="3120"/>
          </w:tcPr>
          <w:p>
            <w:r>
              <w:rPr>
                <w:rFonts w:ascii="宋体" w:hAnsi="宋体" w:eastAsia="宋体"/>
                <w:sz w:val="18"/>
              </w:rPr>
              <w:t>配网母线数</w:t>
            </w:r>
          </w:p>
        </w:tc>
        <w:tc>
          <w:tcPr>
            <w:tcW w:type="dxa" w:w="3120"/>
          </w:tcPr>
          <w:p>
            <w:r>
              <w:rPr>
                <w:rFonts w:ascii="宋体" w:hAnsi="宋体" w:eastAsia="宋体"/>
                <w:sz w:val="18"/>
              </w:rPr>
              <w:t>2054</w:t>
            </w:r>
          </w:p>
        </w:tc>
        <w:tc>
          <w:tcPr>
            <w:tcW w:type="dxa" w:w="3120"/>
          </w:tcPr>
          <w:p>
            <w:r>
              <w:rPr>
                <w:rFonts w:ascii="宋体" w:hAnsi="宋体" w:eastAsia="宋体"/>
                <w:sz w:val="18"/>
              </w:rPr>
              <w:t>2055</w:t>
            </w:r>
          </w:p>
        </w:tc>
      </w:tr>
      <w:tr>
        <w:tc>
          <w:tcPr>
            <w:tcW w:type="dxa" w:w="3120"/>
          </w:tcPr>
          <w:p>
            <w:r>
              <w:rPr>
                <w:rFonts w:ascii="宋体" w:hAnsi="宋体" w:eastAsia="宋体"/>
                <w:sz w:val="18"/>
              </w:rPr>
              <w:t>主配边界变压器数</w:t>
            </w:r>
          </w:p>
        </w:tc>
        <w:tc>
          <w:tcPr>
            <w:tcW w:type="dxa" w:w="3120"/>
          </w:tcPr>
          <w:p>
            <w:r>
              <w:rPr>
                <w:rFonts w:ascii="宋体" w:hAnsi="宋体" w:eastAsia="宋体"/>
                <w:sz w:val="18"/>
              </w:rPr>
              <w:t>70</w:t>
            </w:r>
          </w:p>
        </w:tc>
        <w:tc>
          <w:tcPr>
            <w:tcW w:type="dxa" w:w="3120"/>
          </w:tcPr>
          <w:p>
            <w:r>
              <w:rPr>
                <w:rFonts w:ascii="宋体" w:hAnsi="宋体" w:eastAsia="宋体"/>
                <w:sz w:val="18"/>
              </w:rPr>
              <w:t>70</w:t>
            </w:r>
          </w:p>
        </w:tc>
      </w:tr>
      <w:tr>
        <w:tc>
          <w:tcPr>
            <w:tcW w:type="dxa" w:w="3120"/>
          </w:tcPr>
          <w:p>
            <w:r>
              <w:rPr>
                <w:rFonts w:ascii="宋体" w:hAnsi="宋体" w:eastAsia="宋体"/>
                <w:sz w:val="18"/>
              </w:rPr>
              <w:t>配网物理连通分量数</w:t>
            </w:r>
          </w:p>
        </w:tc>
        <w:tc>
          <w:tcPr>
            <w:tcW w:type="dxa" w:w="3120"/>
          </w:tcPr>
          <w:p>
            <w:r>
              <w:rPr>
                <w:rFonts w:ascii="宋体" w:hAnsi="宋体" w:eastAsia="宋体"/>
                <w:sz w:val="18"/>
              </w:rPr>
              <w:t>49</w:t>
            </w:r>
          </w:p>
        </w:tc>
        <w:tc>
          <w:tcPr>
            <w:tcW w:type="dxa" w:w="3120"/>
          </w:tcPr>
          <w:p>
            <w:r>
              <w:rPr>
                <w:rFonts w:ascii="宋体" w:hAnsi="宋体" w:eastAsia="宋体"/>
                <w:sz w:val="18"/>
              </w:rPr>
              <w:t>49</w:t>
            </w:r>
          </w:p>
        </w:tc>
      </w:tr>
      <w:tr>
        <w:tc>
          <w:tcPr>
            <w:tcW w:type="dxa" w:w="3120"/>
          </w:tcPr>
          <w:p>
            <w:r>
              <w:rPr>
                <w:rFonts w:ascii="宋体" w:hAnsi="宋体" w:eastAsia="宋体"/>
                <w:sz w:val="18"/>
              </w:rPr>
              <w:t>等值微网数量</w:t>
            </w:r>
          </w:p>
        </w:tc>
        <w:tc>
          <w:tcPr>
            <w:tcW w:type="dxa" w:w="3120"/>
          </w:tcPr>
          <w:p>
            <w:r>
              <w:rPr>
                <w:rFonts w:ascii="宋体" w:hAnsi="宋体" w:eastAsia="宋体"/>
                <w:sz w:val="18"/>
              </w:rPr>
              <w:t>6</w:t>
            </w:r>
          </w:p>
        </w:tc>
        <w:tc>
          <w:tcPr>
            <w:tcW w:type="dxa" w:w="3120"/>
          </w:tcPr>
          <w:p>
            <w:r>
              <w:rPr>
                <w:rFonts w:ascii="宋体" w:hAnsi="宋体" w:eastAsia="宋体"/>
                <w:sz w:val="18"/>
              </w:rPr>
              <w:t>6</w:t>
            </w:r>
          </w:p>
        </w:tc>
      </w:tr>
      <w:tr>
        <w:tc>
          <w:tcPr>
            <w:tcW w:type="dxa" w:w="3120"/>
          </w:tcPr>
          <w:p>
            <w:r>
              <w:rPr>
                <w:rFonts w:ascii="宋体" w:hAnsi="宋体" w:eastAsia="宋体"/>
                <w:sz w:val="18"/>
              </w:rPr>
              <w:t>微网内部节点总数</w:t>
            </w:r>
          </w:p>
        </w:tc>
        <w:tc>
          <w:tcPr>
            <w:tcW w:type="dxa" w:w="3120"/>
          </w:tcPr>
          <w:p>
            <w:r>
              <w:rPr>
                <w:rFonts w:ascii="宋体" w:hAnsi="宋体" w:eastAsia="宋体"/>
                <w:sz w:val="18"/>
              </w:rPr>
              <w:t>198</w:t>
            </w:r>
          </w:p>
        </w:tc>
        <w:tc>
          <w:tcPr>
            <w:tcW w:type="dxa" w:w="3120"/>
          </w:tcPr>
          <w:p>
            <w:r>
              <w:rPr>
                <w:rFonts w:ascii="宋体" w:hAnsi="宋体" w:eastAsia="宋体"/>
                <w:sz w:val="18"/>
              </w:rPr>
              <w:t>198</w:t>
            </w:r>
          </w:p>
        </w:tc>
      </w:tr>
      <w:tr>
        <w:tc>
          <w:tcPr>
            <w:tcW w:type="dxa" w:w="3120"/>
          </w:tcPr>
          <w:p>
            <w:r>
              <w:rPr>
                <w:rFonts w:ascii="宋体" w:hAnsi="宋体" w:eastAsia="宋体"/>
                <w:sz w:val="18"/>
              </w:rPr>
              <w:t>逻辑总节点数</w:t>
            </w:r>
          </w:p>
        </w:tc>
        <w:tc>
          <w:tcPr>
            <w:tcW w:type="dxa" w:w="3120"/>
          </w:tcPr>
          <w:p>
            <w:r>
              <w:rPr>
                <w:rFonts w:ascii="宋体" w:hAnsi="宋体" w:eastAsia="宋体"/>
                <w:sz w:val="18"/>
              </w:rPr>
              <w:t>2319</w:t>
            </w:r>
          </w:p>
        </w:tc>
        <w:tc>
          <w:tcPr>
            <w:tcW w:type="dxa" w:w="3120"/>
          </w:tcPr>
          <w:p>
            <w:r>
              <w:rPr>
                <w:rFonts w:ascii="宋体" w:hAnsi="宋体" w:eastAsia="宋体"/>
                <w:sz w:val="18"/>
              </w:rPr>
              <w:t>2320</w:t>
            </w:r>
          </w:p>
        </w:tc>
      </w:tr>
    </w:tbl>
    <w:p>
      <w:pPr>
        <w:pStyle w:val="Heading3"/>
        <w:spacing w:before="120" w:after="120"/>
      </w:pPr>
      <w:r>
        <w:rPr>
          <w:rFonts w:ascii="黑体" w:hAnsi="黑体" w:eastAsia="黑体"/>
        </w:rPr>
        <w:t>2.4.2 13点断面验证结果</w:t>
      </w:r>
    </w:p>
    <w:p>
      <w:pPr>
        <w:spacing w:line="360" w:lineRule="auto"/>
        <w:ind w:firstLine="420"/>
      </w:pPr>
      <w:r>
        <w:rPr>
          <w:rFonts w:ascii="宋体" w:hAnsi="宋体" w:eastAsia="宋体"/>
          <w:sz w:val="21"/>
        </w:rPr>
        <w:t>13点断面在接入馈线负荷和6个等值微网后，全网潮流收敛，pandapower潮流迭代次数为3次。微网并行求解后，总等值有功注入约1.0869MW，总等值无功注入约−0.1924Mvar。微网PCC电压范围为0.9640pu至0.9780pu。</w:t>
      </w:r>
    </w:p>
    <w:p>
      <w:pPr>
        <w:spacing w:line="360" w:lineRule="auto"/>
        <w:ind w:firstLine="420"/>
      </w:pPr>
      <w:r>
        <w:rPr>
          <w:rFonts w:ascii="宋体" w:hAnsi="宋体" w:eastAsia="宋体"/>
          <w:sz w:val="21"/>
        </w:rPr>
        <w:t>配网侧在主配物理解耦后，METIS对较大的配网连通分量进行细分，最终形成63个配网分区，其中5个物理分量被METIS进一步细分。63个分区全部收敛，分区潮流相对于全网潮流的最大电压幅值偏差约3.60×10^-7pu，最大相角偏差约7.31×10^-5度。</w:t>
      </w:r>
    </w:p>
    <w:p>
      <w:pPr>
        <w:spacing w:line="360" w:lineRule="auto"/>
        <w:ind w:firstLine="420"/>
      </w:pPr>
      <w:r>
        <w:rPr>
          <w:rFonts w:ascii="宋体" w:hAnsi="宋体" w:eastAsia="宋体"/>
          <w:sz w:val="21"/>
        </w:rPr>
        <w:t>13点断面存在部分线路和变压器负载率较高的现象，该结果反映输入断面本身的运行状态。模块当前重点验证主配微解耦、分区并行和潮流收敛，不对原始断面进行调参或越限治理。</w:t>
      </w:r>
    </w:p>
    <w:p>
      <w:pPr>
        <w:spacing w:line="360" w:lineRule="auto"/>
        <w:ind w:firstLine="420"/>
      </w:pPr>
      <w:r>
        <w:rPr>
          <w:rFonts w:ascii="宋体" w:hAnsi="宋体" w:eastAsia="宋体"/>
          <w:sz w:val="21"/>
        </w:rPr>
        <w:t>表 2-4 13点断面计算结果</w:t>
      </w:r>
    </w:p>
    <w:tbl>
      <w:tblPr>
        <w:tblStyle w:val="TableGrid"/>
        <w:tblW w:type="auto" w:w="0"/>
        <w:tblLook w:firstColumn="1" w:firstRow="1" w:lastColumn="0" w:lastRow="0" w:noHBand="0" w:noVBand="1" w:val="04A0"/>
      </w:tblPr>
      <w:tblGrid>
        <w:gridCol w:w="4680"/>
        <w:gridCol w:w="4680"/>
      </w:tblGrid>
      <w:tr>
        <w:tc>
          <w:tcPr>
            <w:tcW w:type="dxa" w:w="4680"/>
          </w:tcPr>
          <w:p>
            <w:r>
              <w:rPr>
                <w:rFonts w:ascii="宋体" w:hAnsi="宋体" w:eastAsia="宋体"/>
                <w:sz w:val="18"/>
              </w:rPr>
              <w:t>指标</w:t>
            </w:r>
          </w:p>
        </w:tc>
        <w:tc>
          <w:tcPr>
            <w:tcW w:type="dxa" w:w="4680"/>
          </w:tcPr>
          <w:p>
            <w:r>
              <w:rPr>
                <w:rFonts w:ascii="宋体" w:hAnsi="宋体" w:eastAsia="宋体"/>
                <w:sz w:val="18"/>
              </w:rPr>
              <w:t>结果</w:t>
            </w:r>
          </w:p>
        </w:tc>
      </w:tr>
      <w:tr>
        <w:tc>
          <w:tcPr>
            <w:tcW w:type="dxa" w:w="4680"/>
          </w:tcPr>
          <w:p>
            <w:r>
              <w:rPr>
                <w:rFonts w:ascii="宋体" w:hAnsi="宋体" w:eastAsia="宋体"/>
                <w:sz w:val="18"/>
              </w:rPr>
              <w:t>全网潮流收敛状态</w:t>
            </w:r>
          </w:p>
        </w:tc>
        <w:tc>
          <w:tcPr>
            <w:tcW w:type="dxa" w:w="4680"/>
          </w:tcPr>
          <w:p>
            <w:r>
              <w:rPr>
                <w:rFonts w:ascii="宋体" w:hAnsi="宋体" w:eastAsia="宋体"/>
                <w:sz w:val="18"/>
              </w:rPr>
              <w:t>收敛</w:t>
            </w:r>
          </w:p>
        </w:tc>
      </w:tr>
      <w:tr>
        <w:tc>
          <w:tcPr>
            <w:tcW w:type="dxa" w:w="4680"/>
          </w:tcPr>
          <w:p>
            <w:r>
              <w:rPr>
                <w:rFonts w:ascii="宋体" w:hAnsi="宋体" w:eastAsia="宋体"/>
                <w:sz w:val="18"/>
              </w:rPr>
              <w:t>全网潮流迭代次数</w:t>
            </w:r>
          </w:p>
        </w:tc>
        <w:tc>
          <w:tcPr>
            <w:tcW w:type="dxa" w:w="4680"/>
          </w:tcPr>
          <w:p>
            <w:r>
              <w:rPr>
                <w:rFonts w:ascii="宋体" w:hAnsi="宋体" w:eastAsia="宋体"/>
                <w:sz w:val="18"/>
              </w:rPr>
              <w:t>3</w:t>
            </w:r>
          </w:p>
        </w:tc>
      </w:tr>
      <w:tr>
        <w:tc>
          <w:tcPr>
            <w:tcW w:type="dxa" w:w="4680"/>
          </w:tcPr>
          <w:p>
            <w:r>
              <w:rPr>
                <w:rFonts w:ascii="宋体" w:hAnsi="宋体" w:eastAsia="宋体"/>
                <w:sz w:val="18"/>
              </w:rPr>
              <w:t>电压幅值范围</w:t>
            </w:r>
          </w:p>
        </w:tc>
        <w:tc>
          <w:tcPr>
            <w:tcW w:type="dxa" w:w="4680"/>
          </w:tcPr>
          <w:p>
            <w:r>
              <w:rPr>
                <w:rFonts w:ascii="宋体" w:hAnsi="宋体" w:eastAsia="宋体"/>
                <w:sz w:val="18"/>
              </w:rPr>
              <w:t>0.936943 pu ~ 1.035395 pu</w:t>
            </w:r>
          </w:p>
        </w:tc>
      </w:tr>
      <w:tr>
        <w:tc>
          <w:tcPr>
            <w:tcW w:type="dxa" w:w="4680"/>
          </w:tcPr>
          <w:p>
            <w:r>
              <w:rPr>
                <w:rFonts w:ascii="宋体" w:hAnsi="宋体" w:eastAsia="宋体"/>
                <w:sz w:val="18"/>
              </w:rPr>
              <w:t>微网数量</w:t>
            </w:r>
          </w:p>
        </w:tc>
        <w:tc>
          <w:tcPr>
            <w:tcW w:type="dxa" w:w="4680"/>
          </w:tcPr>
          <w:p>
            <w:r>
              <w:rPr>
                <w:rFonts w:ascii="宋体" w:hAnsi="宋体" w:eastAsia="宋体"/>
                <w:sz w:val="18"/>
              </w:rPr>
              <w:t>6</w:t>
            </w:r>
          </w:p>
        </w:tc>
      </w:tr>
      <w:tr>
        <w:tc>
          <w:tcPr>
            <w:tcW w:type="dxa" w:w="4680"/>
          </w:tcPr>
          <w:p>
            <w:r>
              <w:rPr>
                <w:rFonts w:ascii="宋体" w:hAnsi="宋体" w:eastAsia="宋体"/>
                <w:sz w:val="18"/>
              </w:rPr>
              <w:t>微网总有功注入</w:t>
            </w:r>
          </w:p>
        </w:tc>
        <w:tc>
          <w:tcPr>
            <w:tcW w:type="dxa" w:w="4680"/>
          </w:tcPr>
          <w:p>
            <w:r>
              <w:rPr>
                <w:rFonts w:ascii="宋体" w:hAnsi="宋体" w:eastAsia="宋体"/>
                <w:sz w:val="18"/>
              </w:rPr>
              <w:t>1.0869 MW</w:t>
            </w:r>
          </w:p>
        </w:tc>
      </w:tr>
      <w:tr>
        <w:tc>
          <w:tcPr>
            <w:tcW w:type="dxa" w:w="4680"/>
          </w:tcPr>
          <w:p>
            <w:r>
              <w:rPr>
                <w:rFonts w:ascii="宋体" w:hAnsi="宋体" w:eastAsia="宋体"/>
                <w:sz w:val="18"/>
              </w:rPr>
              <w:t>微网总无功注入</w:t>
            </w:r>
          </w:p>
        </w:tc>
        <w:tc>
          <w:tcPr>
            <w:tcW w:type="dxa" w:w="4680"/>
          </w:tcPr>
          <w:p>
            <w:r>
              <w:rPr>
                <w:rFonts w:ascii="宋体" w:hAnsi="宋体" w:eastAsia="宋体"/>
                <w:sz w:val="18"/>
              </w:rPr>
              <w:t>-0.1924 Mvar</w:t>
            </w:r>
          </w:p>
        </w:tc>
      </w:tr>
      <w:tr>
        <w:tc>
          <w:tcPr>
            <w:tcW w:type="dxa" w:w="4680"/>
          </w:tcPr>
          <w:p>
            <w:r>
              <w:rPr>
                <w:rFonts w:ascii="宋体" w:hAnsi="宋体" w:eastAsia="宋体"/>
                <w:sz w:val="18"/>
              </w:rPr>
              <w:t>微网PCC电压范围</w:t>
            </w:r>
          </w:p>
        </w:tc>
        <w:tc>
          <w:tcPr>
            <w:tcW w:type="dxa" w:w="4680"/>
          </w:tcPr>
          <w:p>
            <w:r>
              <w:rPr>
                <w:rFonts w:ascii="宋体" w:hAnsi="宋体" w:eastAsia="宋体"/>
                <w:sz w:val="18"/>
              </w:rPr>
              <w:t>0.9640 pu ~ 0.9780 pu</w:t>
            </w:r>
          </w:p>
        </w:tc>
      </w:tr>
      <w:tr>
        <w:tc>
          <w:tcPr>
            <w:tcW w:type="dxa" w:w="4680"/>
          </w:tcPr>
          <w:p>
            <w:r>
              <w:rPr>
                <w:rFonts w:ascii="宋体" w:hAnsi="宋体" w:eastAsia="宋体"/>
                <w:sz w:val="18"/>
              </w:rPr>
              <w:t>METIS配网分区数</w:t>
            </w:r>
          </w:p>
        </w:tc>
        <w:tc>
          <w:tcPr>
            <w:tcW w:type="dxa" w:w="4680"/>
          </w:tcPr>
          <w:p>
            <w:r>
              <w:rPr>
                <w:rFonts w:ascii="宋体" w:hAnsi="宋体" w:eastAsia="宋体"/>
                <w:sz w:val="18"/>
              </w:rPr>
              <w:t>63</w:t>
            </w:r>
          </w:p>
        </w:tc>
      </w:tr>
      <w:tr>
        <w:tc>
          <w:tcPr>
            <w:tcW w:type="dxa" w:w="4680"/>
          </w:tcPr>
          <w:p>
            <w:r>
              <w:rPr>
                <w:rFonts w:ascii="宋体" w:hAnsi="宋体" w:eastAsia="宋体"/>
                <w:sz w:val="18"/>
              </w:rPr>
              <w:t>分区收敛数量</w:t>
            </w:r>
          </w:p>
        </w:tc>
        <w:tc>
          <w:tcPr>
            <w:tcW w:type="dxa" w:w="4680"/>
          </w:tcPr>
          <w:p>
            <w:r>
              <w:rPr>
                <w:rFonts w:ascii="宋体" w:hAnsi="宋体" w:eastAsia="宋体"/>
                <w:sz w:val="18"/>
              </w:rPr>
              <w:t>63/63</w:t>
            </w:r>
          </w:p>
        </w:tc>
      </w:tr>
      <w:tr>
        <w:tc>
          <w:tcPr>
            <w:tcW w:type="dxa" w:w="4680"/>
          </w:tcPr>
          <w:p>
            <w:r>
              <w:rPr>
                <w:rFonts w:ascii="宋体" w:hAnsi="宋体" w:eastAsia="宋体"/>
                <w:sz w:val="18"/>
              </w:rPr>
              <w:t>分区间切边数</w:t>
            </w:r>
          </w:p>
        </w:tc>
        <w:tc>
          <w:tcPr>
            <w:tcW w:type="dxa" w:w="4680"/>
          </w:tcPr>
          <w:p>
            <w:r>
              <w:rPr>
                <w:rFonts w:ascii="宋体" w:hAnsi="宋体" w:eastAsia="宋体"/>
                <w:sz w:val="18"/>
              </w:rPr>
              <w:t>14</w:t>
            </w:r>
          </w:p>
        </w:tc>
      </w:tr>
      <w:tr>
        <w:tc>
          <w:tcPr>
            <w:tcW w:type="dxa" w:w="4680"/>
          </w:tcPr>
          <w:p>
            <w:r>
              <w:rPr>
                <w:rFonts w:ascii="宋体" w:hAnsi="宋体" w:eastAsia="宋体"/>
                <w:sz w:val="18"/>
              </w:rPr>
              <w:t>最大电压误差</w:t>
            </w:r>
          </w:p>
        </w:tc>
        <w:tc>
          <w:tcPr>
            <w:tcW w:type="dxa" w:w="4680"/>
          </w:tcPr>
          <w:p>
            <w:r>
              <w:rPr>
                <w:rFonts w:ascii="宋体" w:hAnsi="宋体" w:eastAsia="宋体"/>
                <w:sz w:val="18"/>
              </w:rPr>
              <w:t>3.60×10^-7 pu</w:t>
            </w:r>
          </w:p>
        </w:tc>
      </w:tr>
      <w:tr>
        <w:tc>
          <w:tcPr>
            <w:tcW w:type="dxa" w:w="4680"/>
          </w:tcPr>
          <w:p>
            <w:r>
              <w:rPr>
                <w:rFonts w:ascii="宋体" w:hAnsi="宋体" w:eastAsia="宋体"/>
                <w:sz w:val="18"/>
              </w:rPr>
              <w:t>最大相角误差</w:t>
            </w:r>
          </w:p>
        </w:tc>
        <w:tc>
          <w:tcPr>
            <w:tcW w:type="dxa" w:w="4680"/>
          </w:tcPr>
          <w:p>
            <w:r>
              <w:rPr>
                <w:rFonts w:ascii="宋体" w:hAnsi="宋体" w:eastAsia="宋体"/>
                <w:sz w:val="18"/>
              </w:rPr>
              <w:t>7.31×10^-5 deg</w:t>
            </w:r>
          </w:p>
        </w:tc>
      </w:tr>
    </w:tbl>
    <w:p>
      <w:pPr>
        <w:pStyle w:val="Heading3"/>
        <w:spacing w:before="120" w:after="120"/>
      </w:pPr>
      <w:r>
        <w:rPr>
          <w:rFonts w:ascii="黑体" w:hAnsi="黑体" w:eastAsia="黑体"/>
        </w:rPr>
        <w:t>2.4.3 20点断面验证结果</w:t>
      </w:r>
    </w:p>
    <w:p>
      <w:pPr>
        <w:spacing w:line="360" w:lineRule="auto"/>
        <w:ind w:firstLine="420"/>
      </w:pPr>
      <w:r>
        <w:rPr>
          <w:rFonts w:ascii="宋体" w:hAnsi="宋体" w:eastAsia="宋体"/>
          <w:sz w:val="21"/>
        </w:rPr>
        <w:t>20点断面同样完成馈线负荷接入、等值微网接入、主配潮流求解、微网并行求解和配网METIS分区并行潮流计算。全网潮流收敛，pandapower潮流迭代次数为3次。微网总等值有功注入约1.0918MW，总等值无功注入约−0.1881Mvar，PCC电压范围为0.9700pu至0.9890pu。</w:t>
      </w:r>
    </w:p>
    <w:p>
      <w:pPr>
        <w:spacing w:line="360" w:lineRule="auto"/>
        <w:ind w:firstLine="420"/>
      </w:pPr>
      <w:r>
        <w:rPr>
          <w:rFonts w:ascii="宋体" w:hAnsi="宋体" w:eastAsia="宋体"/>
          <w:sz w:val="21"/>
        </w:rPr>
        <w:t>20点断面经METIS智能分区后形成64个配网分区，其中5个物理分量被细分。所有64个配网分区均收敛，最大电压幅值误差约3.07×10^-7pu，最大相角误差约7.34×10^-5度。与13点断面相比，20点断面潮流方向和负荷状态有所不同，但分区解耦和并行潮流框架保持稳定。</w:t>
      </w:r>
    </w:p>
    <w:p>
      <w:pPr>
        <w:spacing w:line="360" w:lineRule="auto"/>
        <w:ind w:firstLine="420"/>
      </w:pPr>
      <w:r>
        <w:rPr>
          <w:rFonts w:ascii="宋体" w:hAnsi="宋体" w:eastAsia="宋体"/>
          <w:sz w:val="21"/>
        </w:rPr>
        <w:t>两个断面均表明，基于主配边界识别、METIS智能分区、微网等值接入和并行潮流求解的组合方法能够适配河北示范区主配网算例。该流程不依赖人工指定分区，可随断面和负荷曲线变化自动更新分区边界和计算结果。</w:t>
      </w:r>
    </w:p>
    <w:p>
      <w:pPr>
        <w:spacing w:line="360" w:lineRule="auto"/>
        <w:ind w:firstLine="420"/>
      </w:pPr>
      <w:r>
        <w:rPr>
          <w:rFonts w:ascii="宋体" w:hAnsi="宋体" w:eastAsia="宋体"/>
          <w:sz w:val="21"/>
        </w:rPr>
        <w:t>表 2-5 20点断面计算结果</w:t>
      </w:r>
    </w:p>
    <w:tbl>
      <w:tblPr>
        <w:tblStyle w:val="TableGrid"/>
        <w:tblW w:type="auto" w:w="0"/>
        <w:tblLook w:firstColumn="1" w:firstRow="1" w:lastColumn="0" w:lastRow="0" w:noHBand="0" w:noVBand="1" w:val="04A0"/>
      </w:tblPr>
      <w:tblGrid>
        <w:gridCol w:w="4680"/>
        <w:gridCol w:w="4680"/>
      </w:tblGrid>
      <w:tr>
        <w:tc>
          <w:tcPr>
            <w:tcW w:type="dxa" w:w="4680"/>
          </w:tcPr>
          <w:p>
            <w:r>
              <w:rPr>
                <w:rFonts w:ascii="宋体" w:hAnsi="宋体" w:eastAsia="宋体"/>
                <w:sz w:val="18"/>
              </w:rPr>
              <w:t>指标</w:t>
            </w:r>
          </w:p>
        </w:tc>
        <w:tc>
          <w:tcPr>
            <w:tcW w:type="dxa" w:w="4680"/>
          </w:tcPr>
          <w:p>
            <w:r>
              <w:rPr>
                <w:rFonts w:ascii="宋体" w:hAnsi="宋体" w:eastAsia="宋体"/>
                <w:sz w:val="18"/>
              </w:rPr>
              <w:t>结果</w:t>
            </w:r>
          </w:p>
        </w:tc>
      </w:tr>
      <w:tr>
        <w:tc>
          <w:tcPr>
            <w:tcW w:type="dxa" w:w="4680"/>
          </w:tcPr>
          <w:p>
            <w:r>
              <w:rPr>
                <w:rFonts w:ascii="宋体" w:hAnsi="宋体" w:eastAsia="宋体"/>
                <w:sz w:val="18"/>
              </w:rPr>
              <w:t>全网潮流收敛状态</w:t>
            </w:r>
          </w:p>
        </w:tc>
        <w:tc>
          <w:tcPr>
            <w:tcW w:type="dxa" w:w="4680"/>
          </w:tcPr>
          <w:p>
            <w:r>
              <w:rPr>
                <w:rFonts w:ascii="宋体" w:hAnsi="宋体" w:eastAsia="宋体"/>
                <w:sz w:val="18"/>
              </w:rPr>
              <w:t>收敛</w:t>
            </w:r>
          </w:p>
        </w:tc>
      </w:tr>
      <w:tr>
        <w:tc>
          <w:tcPr>
            <w:tcW w:type="dxa" w:w="4680"/>
          </w:tcPr>
          <w:p>
            <w:r>
              <w:rPr>
                <w:rFonts w:ascii="宋体" w:hAnsi="宋体" w:eastAsia="宋体"/>
                <w:sz w:val="18"/>
              </w:rPr>
              <w:t>全网潮流迭代次数</w:t>
            </w:r>
          </w:p>
        </w:tc>
        <w:tc>
          <w:tcPr>
            <w:tcW w:type="dxa" w:w="4680"/>
          </w:tcPr>
          <w:p>
            <w:r>
              <w:rPr>
                <w:rFonts w:ascii="宋体" w:hAnsi="宋体" w:eastAsia="宋体"/>
                <w:sz w:val="18"/>
              </w:rPr>
              <w:t>3</w:t>
            </w:r>
          </w:p>
        </w:tc>
      </w:tr>
      <w:tr>
        <w:tc>
          <w:tcPr>
            <w:tcW w:type="dxa" w:w="4680"/>
          </w:tcPr>
          <w:p>
            <w:r>
              <w:rPr>
                <w:rFonts w:ascii="宋体" w:hAnsi="宋体" w:eastAsia="宋体"/>
                <w:sz w:val="18"/>
              </w:rPr>
              <w:t>电压幅值范围</w:t>
            </w:r>
          </w:p>
        </w:tc>
        <w:tc>
          <w:tcPr>
            <w:tcW w:type="dxa" w:w="4680"/>
          </w:tcPr>
          <w:p>
            <w:r>
              <w:rPr>
                <w:rFonts w:ascii="宋体" w:hAnsi="宋体" w:eastAsia="宋体"/>
                <w:sz w:val="18"/>
              </w:rPr>
              <w:t>0.932257 pu ~ 1.034495 pu</w:t>
            </w:r>
          </w:p>
        </w:tc>
      </w:tr>
      <w:tr>
        <w:tc>
          <w:tcPr>
            <w:tcW w:type="dxa" w:w="4680"/>
          </w:tcPr>
          <w:p>
            <w:r>
              <w:rPr>
                <w:rFonts w:ascii="宋体" w:hAnsi="宋体" w:eastAsia="宋体"/>
                <w:sz w:val="18"/>
              </w:rPr>
              <w:t>微网数量</w:t>
            </w:r>
          </w:p>
        </w:tc>
        <w:tc>
          <w:tcPr>
            <w:tcW w:type="dxa" w:w="4680"/>
          </w:tcPr>
          <w:p>
            <w:r>
              <w:rPr>
                <w:rFonts w:ascii="宋体" w:hAnsi="宋体" w:eastAsia="宋体"/>
                <w:sz w:val="18"/>
              </w:rPr>
              <w:t>6</w:t>
            </w:r>
          </w:p>
        </w:tc>
      </w:tr>
      <w:tr>
        <w:tc>
          <w:tcPr>
            <w:tcW w:type="dxa" w:w="4680"/>
          </w:tcPr>
          <w:p>
            <w:r>
              <w:rPr>
                <w:rFonts w:ascii="宋体" w:hAnsi="宋体" w:eastAsia="宋体"/>
                <w:sz w:val="18"/>
              </w:rPr>
              <w:t>微网总有功注入</w:t>
            </w:r>
          </w:p>
        </w:tc>
        <w:tc>
          <w:tcPr>
            <w:tcW w:type="dxa" w:w="4680"/>
          </w:tcPr>
          <w:p>
            <w:r>
              <w:rPr>
                <w:rFonts w:ascii="宋体" w:hAnsi="宋体" w:eastAsia="宋体"/>
                <w:sz w:val="18"/>
              </w:rPr>
              <w:t>1.0918 MW</w:t>
            </w:r>
          </w:p>
        </w:tc>
      </w:tr>
      <w:tr>
        <w:tc>
          <w:tcPr>
            <w:tcW w:type="dxa" w:w="4680"/>
          </w:tcPr>
          <w:p>
            <w:r>
              <w:rPr>
                <w:rFonts w:ascii="宋体" w:hAnsi="宋体" w:eastAsia="宋体"/>
                <w:sz w:val="18"/>
              </w:rPr>
              <w:t>微网总无功注入</w:t>
            </w:r>
          </w:p>
        </w:tc>
        <w:tc>
          <w:tcPr>
            <w:tcW w:type="dxa" w:w="4680"/>
          </w:tcPr>
          <w:p>
            <w:r>
              <w:rPr>
                <w:rFonts w:ascii="宋体" w:hAnsi="宋体" w:eastAsia="宋体"/>
                <w:sz w:val="18"/>
              </w:rPr>
              <w:t>-0.1881 Mvar</w:t>
            </w:r>
          </w:p>
        </w:tc>
      </w:tr>
      <w:tr>
        <w:tc>
          <w:tcPr>
            <w:tcW w:type="dxa" w:w="4680"/>
          </w:tcPr>
          <w:p>
            <w:r>
              <w:rPr>
                <w:rFonts w:ascii="宋体" w:hAnsi="宋体" w:eastAsia="宋体"/>
                <w:sz w:val="18"/>
              </w:rPr>
              <w:t>微网PCC电压范围</w:t>
            </w:r>
          </w:p>
        </w:tc>
        <w:tc>
          <w:tcPr>
            <w:tcW w:type="dxa" w:w="4680"/>
          </w:tcPr>
          <w:p>
            <w:r>
              <w:rPr>
                <w:rFonts w:ascii="宋体" w:hAnsi="宋体" w:eastAsia="宋体"/>
                <w:sz w:val="18"/>
              </w:rPr>
              <w:t>0.9700 pu ~ 0.9890 pu</w:t>
            </w:r>
          </w:p>
        </w:tc>
      </w:tr>
      <w:tr>
        <w:tc>
          <w:tcPr>
            <w:tcW w:type="dxa" w:w="4680"/>
          </w:tcPr>
          <w:p>
            <w:r>
              <w:rPr>
                <w:rFonts w:ascii="宋体" w:hAnsi="宋体" w:eastAsia="宋体"/>
                <w:sz w:val="18"/>
              </w:rPr>
              <w:t>METIS配网分区数</w:t>
            </w:r>
          </w:p>
        </w:tc>
        <w:tc>
          <w:tcPr>
            <w:tcW w:type="dxa" w:w="4680"/>
          </w:tcPr>
          <w:p>
            <w:r>
              <w:rPr>
                <w:rFonts w:ascii="宋体" w:hAnsi="宋体" w:eastAsia="宋体"/>
                <w:sz w:val="18"/>
              </w:rPr>
              <w:t>64</w:t>
            </w:r>
          </w:p>
        </w:tc>
      </w:tr>
      <w:tr>
        <w:tc>
          <w:tcPr>
            <w:tcW w:type="dxa" w:w="4680"/>
          </w:tcPr>
          <w:p>
            <w:r>
              <w:rPr>
                <w:rFonts w:ascii="宋体" w:hAnsi="宋体" w:eastAsia="宋体"/>
                <w:sz w:val="18"/>
              </w:rPr>
              <w:t>分区收敛数量</w:t>
            </w:r>
          </w:p>
        </w:tc>
        <w:tc>
          <w:tcPr>
            <w:tcW w:type="dxa" w:w="4680"/>
          </w:tcPr>
          <w:p>
            <w:r>
              <w:rPr>
                <w:rFonts w:ascii="宋体" w:hAnsi="宋体" w:eastAsia="宋体"/>
                <w:sz w:val="18"/>
              </w:rPr>
              <w:t>64/64</w:t>
            </w:r>
          </w:p>
        </w:tc>
      </w:tr>
      <w:tr>
        <w:tc>
          <w:tcPr>
            <w:tcW w:type="dxa" w:w="4680"/>
          </w:tcPr>
          <w:p>
            <w:r>
              <w:rPr>
                <w:rFonts w:ascii="宋体" w:hAnsi="宋体" w:eastAsia="宋体"/>
                <w:sz w:val="18"/>
              </w:rPr>
              <w:t>分区间切边数</w:t>
            </w:r>
          </w:p>
        </w:tc>
        <w:tc>
          <w:tcPr>
            <w:tcW w:type="dxa" w:w="4680"/>
          </w:tcPr>
          <w:p>
            <w:r>
              <w:rPr>
                <w:rFonts w:ascii="宋体" w:hAnsi="宋体" w:eastAsia="宋体"/>
                <w:sz w:val="18"/>
              </w:rPr>
              <w:t>15</w:t>
            </w:r>
          </w:p>
        </w:tc>
      </w:tr>
      <w:tr>
        <w:tc>
          <w:tcPr>
            <w:tcW w:type="dxa" w:w="4680"/>
          </w:tcPr>
          <w:p>
            <w:r>
              <w:rPr>
                <w:rFonts w:ascii="宋体" w:hAnsi="宋体" w:eastAsia="宋体"/>
                <w:sz w:val="18"/>
              </w:rPr>
              <w:t>最大电压误差</w:t>
            </w:r>
          </w:p>
        </w:tc>
        <w:tc>
          <w:tcPr>
            <w:tcW w:type="dxa" w:w="4680"/>
          </w:tcPr>
          <w:p>
            <w:r>
              <w:rPr>
                <w:rFonts w:ascii="宋体" w:hAnsi="宋体" w:eastAsia="宋体"/>
                <w:sz w:val="18"/>
              </w:rPr>
              <w:t>3.07×10^-7 pu</w:t>
            </w:r>
          </w:p>
        </w:tc>
      </w:tr>
      <w:tr>
        <w:tc>
          <w:tcPr>
            <w:tcW w:type="dxa" w:w="4680"/>
          </w:tcPr>
          <w:p>
            <w:r>
              <w:rPr>
                <w:rFonts w:ascii="宋体" w:hAnsi="宋体" w:eastAsia="宋体"/>
                <w:sz w:val="18"/>
              </w:rPr>
              <w:t>最大相角误差</w:t>
            </w:r>
          </w:p>
        </w:tc>
        <w:tc>
          <w:tcPr>
            <w:tcW w:type="dxa" w:w="4680"/>
          </w:tcPr>
          <w:p>
            <w:r>
              <w:rPr>
                <w:rFonts w:ascii="宋体" w:hAnsi="宋体" w:eastAsia="宋体"/>
                <w:sz w:val="18"/>
              </w:rPr>
              <w:t>7.34×10^-5 deg</w:t>
            </w:r>
          </w:p>
        </w:tc>
      </w:tr>
    </w:tbl>
    <w:p>
      <w:pPr>
        <w:pStyle w:val="Heading3"/>
        <w:spacing w:before="120" w:after="120"/>
      </w:pPr>
      <w:r>
        <w:rPr>
          <w:rFonts w:ascii="黑体" w:hAnsi="黑体" w:eastAsia="黑体"/>
        </w:rPr>
        <w:t>2.4.4 算例验证结论</w:t>
      </w:r>
    </w:p>
    <w:p>
      <w:pPr>
        <w:spacing w:line="360" w:lineRule="auto"/>
        <w:ind w:firstLine="420"/>
      </w:pPr>
      <w:r>
        <w:rPr>
          <w:rFonts w:ascii="宋体" w:hAnsi="宋体" w:eastAsia="宋体"/>
          <w:sz w:val="21"/>
        </w:rPr>
        <w:t>从主配边界识别结果看，两个断面均稳定识别出70台主配边界变压器和49个配网侧边界母线，说明拓扑识别方法对断面运行状态变化不敏感，适合作为主配解耦的基础步骤。</w:t>
      </w:r>
    </w:p>
    <w:p>
      <w:pPr>
        <w:spacing w:line="360" w:lineRule="auto"/>
        <w:ind w:firstLine="420"/>
      </w:pPr>
      <w:r>
        <w:rPr>
          <w:rFonts w:ascii="宋体" w:hAnsi="宋体" w:eastAsia="宋体"/>
          <w:sz w:val="21"/>
        </w:rPr>
        <w:t>从配网分区结果看，METIS智能分区能够在保持物理连通性的同时对大配网分量进行细分。13点断面形成63个分区，20点断面形成64个分区；两个断面的分区均全部收敛。与单纯按49个物理连通分量划分相比，METIS进一步降低了大分区规模，有利于并行计算负载均衡。</w:t>
      </w:r>
    </w:p>
    <w:p>
      <w:pPr>
        <w:spacing w:line="360" w:lineRule="auto"/>
        <w:ind w:firstLine="420"/>
      </w:pPr>
      <w:r>
        <w:rPr>
          <w:rFonts w:ascii="宋体" w:hAnsi="宋体" w:eastAsia="宋体"/>
          <w:sz w:val="21"/>
        </w:rPr>
        <w:t>从微网接入结果看，6个等值微网均能在PCC电压条件下独立求解并返回等值P/Q，微网总有功注入约1.09MW。微网接入后全网潮流仍稳定收敛，配网分区潮流误差保持在10^-7pu量级，说明微网等值接口与主配网潮流流程兼容。</w:t>
      </w:r>
    </w:p>
    <w:p>
      <w:pPr>
        <w:spacing w:line="360" w:lineRule="auto"/>
        <w:ind w:firstLine="420"/>
      </w:pPr>
      <w:r>
        <w:rPr>
          <w:rFonts w:ascii="宋体" w:hAnsi="宋体" w:eastAsia="宋体"/>
          <w:sz w:val="21"/>
        </w:rPr>
        <w:t>从工程落地角度看，当前模块已经形成可调用API、可复现实验数据和可输出指标。后续若河北提供真实微网台账和控制参数，可将当前等值微网替换为真实微网模型，并扩展微网控制策略、储能SOC约束和多时段连续计算功能。</w:t>
      </w:r>
    </w:p>
    <w:p>
      <w:pPr>
        <w:pStyle w:val="Heading2"/>
        <w:spacing w:before="120" w:after="120"/>
      </w:pPr>
      <w:r>
        <w:rPr>
          <w:rFonts w:ascii="黑体" w:hAnsi="黑体" w:eastAsia="黑体"/>
        </w:rPr>
        <w:t>2.5 本章小结</w:t>
      </w:r>
    </w:p>
    <w:p>
      <w:pPr>
        <w:spacing w:line="360" w:lineRule="auto"/>
        <w:ind w:firstLine="420"/>
      </w:pPr>
      <w:r>
        <w:rPr>
          <w:rFonts w:ascii="宋体" w:hAnsi="宋体" w:eastAsia="宋体"/>
          <w:sz w:val="21"/>
        </w:rPr>
        <w:t>本章完成了北京邮电大学负责的主配微分区解耦与潮流并行计算功能模块说明。模块以河北示范区主配网算例为主体，建立了主网、配网、微网之间的边界耦合关系，提出了基于主配边界识别、METIS加权图划分和边界电压固定的分区解耦计算流程。</w:t>
      </w:r>
    </w:p>
    <w:p>
      <w:pPr>
        <w:spacing w:line="360" w:lineRule="auto"/>
        <w:ind w:firstLine="420"/>
      </w:pPr>
      <w:r>
        <w:rPr>
          <w:rFonts w:ascii="宋体" w:hAnsi="宋体" w:eastAsia="宋体"/>
          <w:sz w:val="21"/>
        </w:rPr>
        <w:t>在算法方面，模块将电网模型转换为拓扑图，自动识别主配边界；在配网侧先形成物理连通分量，再对大分量执行METIS智能分区；在潮流计算方面，模块将配网分区和微网分别作为可并行子任务求解，通过边界电压和等值功率完成信息交互。</w:t>
      </w:r>
    </w:p>
    <w:p>
      <w:pPr>
        <w:spacing w:line="360" w:lineRule="auto"/>
        <w:ind w:firstLine="420"/>
      </w:pPr>
      <w:r>
        <w:rPr>
          <w:rFonts w:ascii="宋体" w:hAnsi="宋体" w:eastAsia="宋体"/>
          <w:sz w:val="21"/>
        </w:rPr>
        <w:t>在算例方面，模块基于河北示范区13点和20点断面完成验证。两个断面均完成馈线负荷接入、等值微网接入、主配潮流求解、微网并行求解和配网分区并行潮流校验。13点断面63个配网分区全部收敛，20点断面64个配网分区全部收敛，分区误差均处于10^-7pu量级。</w:t>
      </w:r>
    </w:p>
    <w:p>
      <w:pPr>
        <w:spacing w:line="360" w:lineRule="auto"/>
        <w:ind w:firstLine="420"/>
      </w:pPr>
      <w:r>
        <w:rPr>
          <w:rFonts w:ascii="宋体" w:hAnsi="宋体" w:eastAsia="宋体"/>
          <w:sz w:val="21"/>
        </w:rPr>
        <w:t>当前研究成果可支撑年中会阶段对“区域划分与解耦”和“并行潮流计算”功能的说明。后续工作将围绕真实微网数据接入、多时段连续断面验证、边界功率迭代收敛策略和工程化服务部署开展进一步完善。</w:t>
      </w:r>
    </w:p>
    <w:p>
      <w:pPr>
        <w:pStyle w:val="Heading2"/>
        <w:spacing w:line="360" w:lineRule="auto"/>
      </w:pPr>
      <w:r>
        <w:rPr>
          <w:rFonts w:ascii="黑体" w:hAnsi="黑体" w:eastAsia="黑体"/>
          <w:b/>
          <w:sz w:val="28"/>
        </w:rPr>
        <w:t>2.6 关键算法实现细节</w:t>
      </w:r>
    </w:p>
    <w:p>
      <w:pPr>
        <w:pStyle w:val="Heading3"/>
        <w:spacing w:line="360" w:lineRule="auto"/>
      </w:pPr>
      <w:r>
        <w:rPr>
          <w:rFonts w:ascii="黑体" w:hAnsi="黑体" w:eastAsia="黑体"/>
          <w:b/>
          <w:sz w:val="24"/>
        </w:rPr>
        <w:t>2.6.1 主配边界自动识别实现</w:t>
      </w:r>
    </w:p>
    <w:p>
      <w:pPr>
        <w:spacing w:line="360" w:lineRule="auto"/>
        <w:ind w:firstLine="420"/>
      </w:pPr>
      <w:r>
        <w:rPr>
          <w:rFonts w:ascii="宋体" w:hAnsi="宋体" w:eastAsia="宋体"/>
          <w:sz w:val="21"/>
        </w:rPr>
        <w:t>模块在工程实现上不要求调用方手工填写主配接口清单，而是直接利用网络模型中的母线电压等级和变压器连接关系完成接口识别。具体地，首先遍历母线表，按照电压等级将母线划入主网集合和配网集合；随后遍历变压器表，判断高低压侧母线是否分别位于两个集合中。如果满足该条件，则将该变压器记录为主配边界，并分别记录主网侧边界母线、配网侧边界母线和变压器索引。该过程对断面负荷变化不敏感，只依赖拓扑和电压等级，适合在不同运行断面间复用。</w:t>
      </w:r>
    </w:p>
    <w:p>
      <w:pPr>
        <w:spacing w:line="360" w:lineRule="auto"/>
        <w:ind w:firstLine="420"/>
      </w:pPr>
      <w:r>
        <w:rPr>
          <w:rFonts w:ascii="宋体" w:hAnsi="宋体" w:eastAsia="宋体"/>
          <w:sz w:val="21"/>
        </w:rPr>
        <w:t>该识别方法的优点是可解释性强。河北示范区模型包含多个电压层级，主网侧母线集中在37kV及以上电压等级，配网侧主要为10.5kV和1kV母线。因此使用35kV作为主配识别阈值能够把上级网架和配电馈线清晰分开。若后续模型电压层级发生变化，阈值可以作为配置参数调整，而不需要改变算法主体。</w:t>
      </w:r>
    </w:p>
    <w:p>
      <w:pPr>
        <w:spacing w:line="360" w:lineRule="auto"/>
        <w:ind w:firstLine="420"/>
      </w:pPr>
      <w:r>
        <w:rPr>
          <w:rFonts w:ascii="宋体" w:hAnsi="宋体" w:eastAsia="宋体"/>
          <w:sz w:val="21"/>
        </w:rPr>
        <w:t>在主配边界识别之后，模块并不立即对全网做复杂划分，而是先将主配边界作为物理切分边。这样做的原因是主配变压器天然承担上级主网和下级配网的电气接口，边界含义明确，便于后续与调度系统、配电自动化系统或调控云系统中的接口信息对应。</w:t>
      </w:r>
    </w:p>
    <w:p>
      <w:pPr>
        <w:pStyle w:val="Heading3"/>
        <w:spacing w:line="360" w:lineRule="auto"/>
      </w:pPr>
      <w:r>
        <w:rPr>
          <w:rFonts w:ascii="黑体" w:hAnsi="黑体" w:eastAsia="黑体"/>
          <w:b/>
          <w:sz w:val="24"/>
        </w:rPr>
        <w:t>2.6.2 配网连通分量提取</w:t>
      </w:r>
    </w:p>
    <w:p>
      <w:pPr>
        <w:spacing w:line="360" w:lineRule="auto"/>
        <w:ind w:firstLine="420"/>
      </w:pPr>
      <w:r>
        <w:rPr>
          <w:rFonts w:ascii="宋体" w:hAnsi="宋体" w:eastAsia="宋体"/>
          <w:sz w:val="21"/>
        </w:rPr>
        <w:t>主配边界切开后，模块仅在配网母线集合上构建配网子图。配网子图中的连通分量代表在主配边界以下彼此没有直接线路或变压器连接的物理片区。该步骤用于防止后续图划分算法把物理上不相连的馈线区域硬性放入同一个潮流子问题。</w:t>
      </w:r>
    </w:p>
    <w:p>
      <w:pPr>
        <w:spacing w:line="360" w:lineRule="auto"/>
        <w:ind w:firstLine="420"/>
      </w:pPr>
      <w:r>
        <w:rPr>
          <w:rFonts w:ascii="宋体" w:hAnsi="宋体" w:eastAsia="宋体"/>
          <w:sz w:val="21"/>
        </w:rPr>
        <w:t>在河北示范区两个断面中，配网子图均形成49个物理连通分量。该结果说明示范区配网并不是一个单一连通网络，而是由多个主配边界向下供电的配网片区构成。若直接把不同片区组合成一个分区，虽然也可以作为计算批次处理，但不能准确体现物理分区含义。因此模块将物理连通分量作为METIS二次划分的基本约束。</w:t>
      </w:r>
    </w:p>
    <w:p>
      <w:pPr>
        <w:spacing w:line="360" w:lineRule="auto"/>
        <w:ind w:firstLine="420"/>
      </w:pPr>
      <w:r>
        <w:rPr>
          <w:rFonts w:ascii="宋体" w:hAnsi="宋体" w:eastAsia="宋体"/>
          <w:sz w:val="21"/>
        </w:rPr>
        <w:t>对于较小的配网连通分量，模块不再进行二次划分。原因是小分量本身计算量有限，继续切分会增加边界数量和接口复杂度，反而可能降低工程可解释性。对于较大的连通分量，模块再调用METIS进行内部划分，以实现计算负载均衡。</w:t>
      </w:r>
    </w:p>
    <w:p>
      <w:pPr>
        <w:pStyle w:val="Heading3"/>
        <w:spacing w:line="360" w:lineRule="auto"/>
      </w:pPr>
      <w:r>
        <w:rPr>
          <w:rFonts w:ascii="黑体" w:hAnsi="黑体" w:eastAsia="黑体"/>
          <w:b/>
          <w:sz w:val="24"/>
        </w:rPr>
        <w:t>2.6.3 METIS加权图构造</w:t>
      </w:r>
    </w:p>
    <w:p>
      <w:pPr>
        <w:spacing w:line="360" w:lineRule="auto"/>
        <w:ind w:firstLine="420"/>
      </w:pPr>
      <w:r>
        <w:rPr>
          <w:rFonts w:ascii="宋体" w:hAnsi="宋体" w:eastAsia="宋体"/>
          <w:sz w:val="21"/>
        </w:rPr>
        <w:t>METIS算法输入为加权图。为了让图划分结果反映电网潮流计算特征，模块没有简单使用无权拓扑，而是分别构造节点权重和边权重。节点权重用于描述该母线对局部潮流计算量的贡献，主要由母线负荷规模决定；边权重用于描述两个母线之间的电气耦合强度，综合考虑线路阻抗、变压器容量和基准潮流大小。</w:t>
      </w:r>
    </w:p>
    <w:p>
      <w:pPr>
        <w:spacing w:line="360" w:lineRule="auto"/>
        <w:ind w:firstLine="420"/>
      </w:pPr>
      <w:r>
        <w:rPr>
          <w:rFonts w:ascii="宋体" w:hAnsi="宋体" w:eastAsia="宋体"/>
          <w:sz w:val="21"/>
        </w:rPr>
        <w:t>节点权重方面，模块读取母线侧负荷和分布式电源信息，计算有功、无功构成的视在功率近似值。负荷越大的母线通常在潮流迭代中对电压和功率平衡影响越大，因此赋予较高权重。这样METIS在均衡分区时，不仅考虑节点数量，也考虑负荷规模。</w:t>
      </w:r>
    </w:p>
    <w:p>
      <w:pPr>
        <w:spacing w:line="360" w:lineRule="auto"/>
        <w:ind w:firstLine="420"/>
      </w:pPr>
      <w:r>
        <w:rPr>
          <w:rFonts w:ascii="宋体" w:hAnsi="宋体" w:eastAsia="宋体"/>
          <w:sz w:val="21"/>
        </w:rPr>
        <w:t>边权重方面，线路阻抗越小、潮流越大，说明两端母线电气联系越紧密，划分时越不宜切开；变压器容量越大、阻抗越低，也代表更强的耦合关系。模块将这些因素折算为正整数边权重输入METIS，使算法倾向于切开弱耦合边，保留强耦合边。</w:t>
      </w:r>
    </w:p>
    <w:p>
      <w:pPr>
        <w:spacing w:line="360" w:lineRule="auto"/>
        <w:ind w:firstLine="420"/>
      </w:pPr>
      <w:r>
        <w:rPr>
          <w:rFonts w:ascii="宋体" w:hAnsi="宋体" w:eastAsia="宋体"/>
          <w:sz w:val="21"/>
        </w:rPr>
        <w:t>该加权策略具有工程含义：如果仅按节点数均衡，可能把一条强耦合馈线主干切断，导致边界数量增加、分区误差变大；而加权图划分可以在负载均衡和边界弱耦合之间折中。河北示范区验证结果中，13点和20点断面分区间切边数分别为14和15，说明分区边界数量保持在可控范围内。</w:t>
      </w:r>
    </w:p>
    <w:p>
      <w:pPr>
        <w:pStyle w:val="Heading3"/>
        <w:spacing w:line="360" w:lineRule="auto"/>
      </w:pPr>
      <w:r>
        <w:rPr>
          <w:rFonts w:ascii="黑体" w:hAnsi="黑体" w:eastAsia="黑体"/>
          <w:b/>
          <w:sz w:val="24"/>
        </w:rPr>
        <w:t>2.6.4 连通性修复与小分区合并</w:t>
      </w:r>
    </w:p>
    <w:p>
      <w:pPr>
        <w:spacing w:line="360" w:lineRule="auto"/>
        <w:ind w:firstLine="420"/>
      </w:pPr>
      <w:r>
        <w:rPr>
          <w:rFonts w:ascii="宋体" w:hAnsi="宋体" w:eastAsia="宋体"/>
          <w:sz w:val="21"/>
        </w:rPr>
        <w:t>通用图划分算法的输出不一定完全满足电力系统局部潮流计算需求。特别是在复杂配网拓扑中，METIS返回的某个分区可能包含多个不连通片段。对潮流计算而言，不连通片段如果放在同一个分区，会导致局部网络包含多个孤岛，边界条件和参考节点处理更复杂。</w:t>
      </w:r>
    </w:p>
    <w:p>
      <w:pPr>
        <w:spacing w:line="360" w:lineRule="auto"/>
        <w:ind w:firstLine="420"/>
      </w:pPr>
      <w:r>
        <w:rPr>
          <w:rFonts w:ascii="宋体" w:hAnsi="宋体" w:eastAsia="宋体"/>
          <w:sz w:val="21"/>
        </w:rPr>
        <w:t>为解决这一问题，模块在METIS输出后执行连通性检查。对每一个分区，重新在配网拓扑图上检查内部节点是否构成单一连通子图。如果不是，则将其拆分为多个连通片段。拆分后，模块继续检查是否存在过小片段；对于节点数很少、且与相邻分区有明确边连接的小片段，将其合并到相邻分区。</w:t>
      </w:r>
    </w:p>
    <w:p>
      <w:pPr>
        <w:spacing w:line="360" w:lineRule="auto"/>
        <w:ind w:firstLine="420"/>
      </w:pPr>
      <w:r>
        <w:rPr>
          <w:rFonts w:ascii="宋体" w:hAnsi="宋体" w:eastAsia="宋体"/>
          <w:sz w:val="21"/>
        </w:rPr>
        <w:t>这一修复步骤不是对METIS结果的否定，而是将通用图划分结果转换为电力潮流计算可直接使用的工程分区。修复后，每个分区都可以独立构造局部pandapower网络，并拥有明确的内部母线集合和边界母线集合。验证中两个断面的所有METIS分区均通过内部连通性校验。</w:t>
      </w:r>
    </w:p>
    <w:p>
      <w:pPr>
        <w:pStyle w:val="Heading3"/>
        <w:spacing w:line="360" w:lineRule="auto"/>
      </w:pPr>
      <w:r>
        <w:rPr>
          <w:rFonts w:ascii="黑体" w:hAnsi="黑体" w:eastAsia="黑体"/>
          <w:b/>
          <w:sz w:val="24"/>
        </w:rPr>
        <w:t>2.6.5 微网PCC自动选择</w:t>
      </w:r>
    </w:p>
    <w:p>
      <w:pPr>
        <w:spacing w:line="360" w:lineRule="auto"/>
        <w:ind w:firstLine="420"/>
      </w:pPr>
      <w:r>
        <w:rPr>
          <w:rFonts w:ascii="宋体" w:hAnsi="宋体" w:eastAsia="宋体"/>
          <w:sz w:val="21"/>
        </w:rPr>
        <w:t>微网接入点选择需要兼顾算例数据条件和功能验证目标。由于当前河北示范区数据未提供真实微网台账，模块采用自动选择策略：先根据配网分区内部负荷规模对分区排序，再在候选分区内部选择负荷较大的母线作为PCC。该策略可保证微网接入点位于配网实际负荷区域，而不是随机选择孤立节点。</w:t>
      </w:r>
    </w:p>
    <w:p>
      <w:pPr>
        <w:spacing w:line="360" w:lineRule="auto"/>
        <w:ind w:firstLine="420"/>
      </w:pPr>
      <w:r>
        <w:rPr>
          <w:rFonts w:ascii="宋体" w:hAnsi="宋体" w:eastAsia="宋体"/>
          <w:sz w:val="21"/>
        </w:rPr>
        <w:t>每个PCC对应一个独立微网模型。微网内部模型包含低压径向线路、分散负荷、光伏、柴油发电机和储能设备。模块在给定PCC电压下求解微网潮流，并将微网对外表现折算为PCC处等值有功和无功注入。</w:t>
      </w:r>
    </w:p>
    <w:p>
      <w:pPr>
        <w:spacing w:line="360" w:lineRule="auto"/>
        <w:ind w:firstLine="420"/>
      </w:pPr>
      <w:r>
        <w:rPr>
          <w:rFonts w:ascii="宋体" w:hAnsi="宋体" w:eastAsia="宋体"/>
          <w:sz w:val="21"/>
        </w:rPr>
        <w:t>PCC自动选择的目的不是替代真实工程选址，而是在缺少真实微网数据时保证功能模块可运行、可验证、可扩展。后续若河北提供微网接入点或台账，模块可直接用指定PCC替代自动选择结果，算法主体不需要调整。</w:t>
      </w:r>
    </w:p>
    <w:p>
      <w:pPr>
        <w:pStyle w:val="Heading2"/>
        <w:spacing w:line="360" w:lineRule="auto"/>
      </w:pPr>
      <w:r>
        <w:rPr>
          <w:rFonts w:ascii="黑体" w:hAnsi="黑体" w:eastAsia="黑体"/>
          <w:b/>
          <w:sz w:val="28"/>
        </w:rPr>
        <w:t>2.7 计算流程与伪代码</w:t>
      </w:r>
    </w:p>
    <w:p>
      <w:pPr>
        <w:pStyle w:val="Heading3"/>
        <w:spacing w:line="360" w:lineRule="auto"/>
      </w:pPr>
      <w:r>
        <w:rPr>
          <w:rFonts w:ascii="黑体" w:hAnsi="黑体" w:eastAsia="黑体"/>
          <w:b/>
          <w:sz w:val="24"/>
        </w:rPr>
        <w:t>2.7.1 主配微协同潮流流程</w:t>
      </w:r>
    </w:p>
    <w:p>
      <w:pPr>
        <w:spacing w:line="360" w:lineRule="auto"/>
        <w:ind w:firstLine="420"/>
      </w:pPr>
      <w:r>
        <w:rPr>
          <w:rFonts w:ascii="宋体" w:hAnsi="宋体" w:eastAsia="宋体"/>
          <w:sz w:val="21"/>
        </w:rPr>
        <w:t>模块的计算流程可以概括为八个步骤。第一步，读取河北示范区断面模型，完成BPA到pandapower网络的转换；第二步，读取馈线负荷曲线并按指定时刻更新母线负荷；第三步，执行基础主配网潮流，获得边界电压和线路潮流；第四步，自动识别主配边界和配网物理连通分量。</w:t>
      </w:r>
    </w:p>
    <w:p>
      <w:pPr>
        <w:spacing w:line="360" w:lineRule="auto"/>
        <w:ind w:firstLine="420"/>
      </w:pPr>
      <w:r>
        <w:rPr>
          <w:rFonts w:ascii="宋体" w:hAnsi="宋体" w:eastAsia="宋体"/>
          <w:sz w:val="21"/>
        </w:rPr>
        <w:t>第五步，在大配网连通分量内部构建加权图并调用METIS，形成配网智能分区；第六步，选择微网PCC，求解微网内部潮流，得到等值P/Q注入；第七步，将微网等值注入写入配网PCC，重算主配网潮流并更新PCC电压；第八步，以更新后的边界电压为条件，并行求解各配网分区潮流，最后与全网潮流进行误差校验。</w:t>
      </w:r>
    </w:p>
    <w:p>
      <w:pPr>
        <w:spacing w:line="360" w:lineRule="auto"/>
        <w:ind w:firstLine="420"/>
      </w:pPr>
      <w:r>
        <w:rPr>
          <w:rFonts w:ascii="宋体" w:hAnsi="宋体" w:eastAsia="宋体"/>
          <w:sz w:val="21"/>
        </w:rPr>
        <w:t>上述流程中，主网求解、微网求解和配网分区求解的角色不同。主网求解提供全局电压参考；微网求解提供PCC等值注入；配网分区求解验证分区解耦后的并行可计算性。三者通过边界电压和等值功率交互，构成主配微协同计算闭环。</w:t>
      </w:r>
    </w:p>
    <w:p>
      <w:pPr>
        <w:pStyle w:val="Heading3"/>
        <w:spacing w:line="360" w:lineRule="auto"/>
      </w:pPr>
      <w:r>
        <w:rPr>
          <w:rFonts w:ascii="黑体" w:hAnsi="黑体" w:eastAsia="黑体"/>
          <w:b/>
          <w:sz w:val="24"/>
        </w:rPr>
        <w:t>2.7.2 伪代码说明</w:t>
      </w:r>
    </w:p>
    <w:p>
      <w:pPr>
        <w:spacing w:line="360" w:lineRule="auto"/>
        <w:ind w:firstLine="420"/>
      </w:pPr>
      <w:r>
        <w:rPr>
          <w:rFonts w:ascii="宋体" w:hAnsi="宋体" w:eastAsia="宋体"/>
          <w:sz w:val="21"/>
        </w:rPr>
        <w:t>功能模块伪代码如下：输入断面编号、时刻、分区模式、微网数量；读取并转换主配网模型；应用馈线负荷曲线；运行全网潮流；识别主配边界；构建配网子图；对大连通分量执行METIS；选择微网PCC；并行求解微网；更新PCC等值注入；再次运行全网潮流；并行求解配网分区；输出全网结果、微网结果、分区结果和误差指标。</w:t>
      </w:r>
    </w:p>
    <w:p>
      <w:pPr>
        <w:spacing w:line="360" w:lineRule="auto"/>
        <w:ind w:firstLine="420"/>
      </w:pPr>
      <w:r>
        <w:rPr>
          <w:rFonts w:ascii="宋体" w:hAnsi="宋体" w:eastAsia="宋体"/>
          <w:sz w:val="21"/>
        </w:rPr>
        <w:t>在实现中，微网求解和配网分区求解均可提交到进程池并行执行。微网并行任务之间只共享PCC电压输入和P/Q输出，不共享内部状态；配网分区并行任务之间只共享边界电压输入和局部电压输出，也不共享内部状态。因此该模块适合在多核服务器上扩展。</w:t>
      </w:r>
    </w:p>
    <w:p>
      <w:pPr>
        <w:pStyle w:val="Heading3"/>
        <w:spacing w:line="360" w:lineRule="auto"/>
      </w:pPr>
      <w:r>
        <w:rPr>
          <w:rFonts w:ascii="黑体" w:hAnsi="黑体" w:eastAsia="黑体"/>
          <w:b/>
          <w:sz w:val="24"/>
        </w:rPr>
        <w:t>2.7.3 API调用流程</w:t>
      </w:r>
    </w:p>
    <w:p>
      <w:pPr>
        <w:spacing w:line="360" w:lineRule="auto"/>
        <w:ind w:firstLine="420"/>
      </w:pPr>
      <w:r>
        <w:rPr>
          <w:rFonts w:ascii="宋体" w:hAnsi="宋体" w:eastAsia="宋体"/>
          <w:sz w:val="21"/>
        </w:rPr>
        <w:t>API调用方只需要指定数据集、断面、时刻和计算选项。对于河北示范区，默认数据集为demo_area，断面可选13点或20点，分区模式默认为metis，微网默认为启用。调用方可通过demo_mg_count调整等值微网数量，通过mg_bus_count调整微网内部规模，通过mg_coupling_iterations调整D-MG耦合迭代次数。</w:t>
      </w:r>
    </w:p>
    <w:p>
      <w:pPr>
        <w:spacing w:line="360" w:lineRule="auto"/>
        <w:ind w:firstLine="420"/>
      </w:pPr>
      <w:r>
        <w:rPr>
          <w:rFonts w:ascii="宋体" w:hAnsi="宋体" w:eastAsia="宋体"/>
          <w:sz w:val="21"/>
        </w:rPr>
        <w:t>API返回结果分为summary、result和artifacts三部分。summary面向业务展示，包括节点规模、主配边界数量、微网数量、分区数量和收敛数量；result包含更详细的潮流结果、微网PCC结果和分区结果预览；artifacts给出转换后模型、馈线负荷JSON和分区结果JSON路径。</w:t>
      </w:r>
    </w:p>
    <w:p>
      <w:pPr>
        <w:pStyle w:val="Heading2"/>
        <w:spacing w:line="360" w:lineRule="auto"/>
      </w:pPr>
      <w:r>
        <w:rPr>
          <w:rFonts w:ascii="黑体" w:hAnsi="黑体" w:eastAsia="黑体"/>
          <w:b/>
          <w:sz w:val="28"/>
        </w:rPr>
        <w:t>2.8 数据质量与工程适配说明</w:t>
      </w:r>
    </w:p>
    <w:p>
      <w:pPr>
        <w:pStyle w:val="Heading3"/>
        <w:spacing w:line="360" w:lineRule="auto"/>
      </w:pPr>
      <w:r>
        <w:rPr>
          <w:rFonts w:ascii="黑体" w:hAnsi="黑体" w:eastAsia="黑体"/>
          <w:b/>
          <w:sz w:val="24"/>
        </w:rPr>
        <w:t>2.8.1 河北示范区数据适配</w:t>
      </w:r>
    </w:p>
    <w:p>
      <w:pPr>
        <w:spacing w:line="360" w:lineRule="auto"/>
        <w:ind w:firstLine="420"/>
      </w:pPr>
      <w:r>
        <w:rPr>
          <w:rFonts w:ascii="宋体" w:hAnsi="宋体" w:eastAsia="宋体"/>
          <w:sz w:val="21"/>
        </w:rPr>
        <w:t>河北示范区数据包括BPA格式主配网断面和多份10kV馈线负荷曲线。BPA格式与pandapower模型在母线命名、支路参数和设备类型表达上存在差异，因此模块在转换过程中保留了BPA母线名称、电压等级和区域信息，便于后续将馈线XLS中的节点名称映射回网络模型。</w:t>
      </w:r>
    </w:p>
    <w:p>
      <w:pPr>
        <w:spacing w:line="360" w:lineRule="auto"/>
        <w:ind w:firstLine="420"/>
      </w:pPr>
      <w:r>
        <w:rPr>
          <w:rFonts w:ascii="宋体" w:hAnsi="宋体" w:eastAsia="宋体"/>
          <w:sz w:val="21"/>
        </w:rPr>
        <w:t>馈线XLS数据中存在少量节点名称与BPA模型不完全一致的情况。模块在转换馈线负荷时提供了馈线编码别名和文件名映射规则，能够匹配绝大多数负荷记录。当前两个断面均匹配并回写1559条负荷记录，未匹配记录约102条。未匹配记录不会阻断计算流程，但在后续工程数据清洗中应继续核对命名规则。</w:t>
      </w:r>
    </w:p>
    <w:p>
      <w:pPr>
        <w:spacing w:line="360" w:lineRule="auto"/>
        <w:ind w:firstLine="420"/>
      </w:pPr>
      <w:r>
        <w:rPr>
          <w:rFonts w:ascii="宋体" w:hAnsi="宋体" w:eastAsia="宋体"/>
          <w:sz w:val="21"/>
        </w:rPr>
        <w:t>模型转换后，模块对13点和20点断面分别进行全网潮流验证。两个断面均能够收敛，说明转换后的拓扑、设备参数和负荷回写能够支持基本潮流计算。部分线路和变压器负载率较高属于输入断面结果表现，本模块不在当前阶段进行设备越限治理。</w:t>
      </w:r>
    </w:p>
    <w:p>
      <w:pPr>
        <w:pStyle w:val="Heading3"/>
        <w:spacing w:line="360" w:lineRule="auto"/>
      </w:pPr>
      <w:r>
        <w:rPr>
          <w:rFonts w:ascii="黑体" w:hAnsi="黑体" w:eastAsia="黑体"/>
          <w:b/>
          <w:sz w:val="24"/>
        </w:rPr>
        <w:t>2.8.2 微网数据适配</w:t>
      </w:r>
    </w:p>
    <w:p>
      <w:pPr>
        <w:spacing w:line="360" w:lineRule="auto"/>
        <w:ind w:firstLine="420"/>
      </w:pPr>
      <w:r>
        <w:rPr>
          <w:rFonts w:ascii="宋体" w:hAnsi="宋体" w:eastAsia="宋体"/>
          <w:sz w:val="21"/>
        </w:rPr>
        <w:t>微网数据是当前示范区数据中的主要缺口。为了不影响主配微功能验证，模块采用等值微网模型作为占位和接口验证模型。该模型具备完整的内部潮流计算能力，而不是简单给定固定P/Q，因此能够体现PCC电压变化对微网等值注入的影响。</w:t>
      </w:r>
    </w:p>
    <w:p>
      <w:pPr>
        <w:spacing w:line="360" w:lineRule="auto"/>
        <w:ind w:firstLine="420"/>
      </w:pPr>
      <w:r>
        <w:rPr>
          <w:rFonts w:ascii="宋体" w:hAnsi="宋体" w:eastAsia="宋体"/>
          <w:sz w:val="21"/>
        </w:rPr>
        <w:t>等值微网模型的参数包括光伏容量、柴油机容量、储能容量、负荷水平和低压线路参数。默认参数采用可重复随机种子生成，使多个微网之间具有一定差异，同时保证同一配置下计算结果可复现。若后续获得真实微网数据，可将微网内部网络文件、设备容量和控制参数替换为真实值。</w:t>
      </w:r>
    </w:p>
    <w:p>
      <w:pPr>
        <w:spacing w:line="360" w:lineRule="auto"/>
        <w:ind w:firstLine="420"/>
      </w:pPr>
      <w:r>
        <w:rPr>
          <w:rFonts w:ascii="宋体" w:hAnsi="宋体" w:eastAsia="宋体"/>
          <w:sz w:val="21"/>
        </w:rPr>
        <w:t>在报告和对外说明中，必须明确区分“河北示范区主配网真实数据”和“用于功能验证的等值微网模型”。当前模块已经实现微网接入和并行求解能力，但不应声称河北数据已经包含真实微网内部模型。该表述边界对正式文档非常重要。</w:t>
      </w:r>
    </w:p>
    <w:p>
      <w:pPr>
        <w:pStyle w:val="Heading3"/>
        <w:spacing w:line="360" w:lineRule="auto"/>
      </w:pPr>
      <w:r>
        <w:rPr>
          <w:rFonts w:ascii="黑体" w:hAnsi="黑体" w:eastAsia="黑体"/>
          <w:b/>
          <w:sz w:val="24"/>
        </w:rPr>
        <w:t>2.8.3 分区结果解释</w:t>
      </w:r>
    </w:p>
    <w:p>
      <w:pPr>
        <w:spacing w:line="360" w:lineRule="auto"/>
        <w:ind w:firstLine="420"/>
      </w:pPr>
      <w:r>
        <w:rPr>
          <w:rFonts w:ascii="宋体" w:hAnsi="宋体" w:eastAsia="宋体"/>
          <w:sz w:val="21"/>
        </w:rPr>
        <w:t>分区数量不是固定常数，而是由断面潮流、负荷分布、目标分区规模和METIS结果共同决定。13点断面在接入微网后形成63个配网分区，20点断面形成64个配网分区。两个断面的差异来自潮流状态和METIS加权结果变化，并不代表模型错误。</w:t>
      </w:r>
    </w:p>
    <w:p>
      <w:pPr>
        <w:spacing w:line="360" w:lineRule="auto"/>
        <w:ind w:firstLine="420"/>
      </w:pPr>
      <w:r>
        <w:rPr>
          <w:rFonts w:ascii="宋体" w:hAnsi="宋体" w:eastAsia="宋体"/>
          <w:sz w:val="21"/>
        </w:rPr>
        <w:t>主配边界数量在两个断面上均为70台变压器，说明拓扑层面的主配接口稳定；配网分区数量随算法细分结果变化，说明计算层面的并行分区可根据负荷和耦合状态自适应调整。这种区分有助于解释“物理边界”和“计算分区”的关系。</w:t>
      </w:r>
    </w:p>
    <w:p>
      <w:pPr>
        <w:pStyle w:val="Heading2"/>
        <w:spacing w:line="360" w:lineRule="auto"/>
      </w:pPr>
      <w:r>
        <w:rPr>
          <w:rFonts w:ascii="黑体" w:hAnsi="黑体" w:eastAsia="黑体"/>
          <w:b/>
          <w:sz w:val="28"/>
        </w:rPr>
        <w:t>2.9 工程落地与可扩展性</w:t>
      </w:r>
    </w:p>
    <w:p>
      <w:pPr>
        <w:pStyle w:val="Heading3"/>
        <w:spacing w:line="360" w:lineRule="auto"/>
      </w:pPr>
      <w:r>
        <w:rPr>
          <w:rFonts w:ascii="黑体" w:hAnsi="黑体" w:eastAsia="黑体"/>
          <w:b/>
          <w:sz w:val="24"/>
        </w:rPr>
        <w:t>2.9.1 与调控系统的数据接口</w:t>
      </w:r>
    </w:p>
    <w:p>
      <w:pPr>
        <w:spacing w:line="360" w:lineRule="auto"/>
        <w:ind w:firstLine="420"/>
      </w:pPr>
      <w:r>
        <w:rPr>
          <w:rFonts w:ascii="宋体" w:hAnsi="宋体" w:eastAsia="宋体"/>
          <w:sz w:val="21"/>
        </w:rPr>
        <w:t>功能模块可以面向调控云、调度自动化系统或配电自动化系统提供API封装。实际部署时，输入数据可由模型管理模块提供主配网模型，由负荷预测或量测系统提供时刻负荷，由微网管理系统提供微网状态。模块内部将这些数据归一化为统一计算对象，然后输出潮流和分区结果。</w:t>
      </w:r>
    </w:p>
    <w:p>
      <w:pPr>
        <w:spacing w:line="360" w:lineRule="auto"/>
        <w:ind w:firstLine="420"/>
      </w:pPr>
      <w:r>
        <w:rPr>
          <w:rFonts w:ascii="宋体" w:hAnsi="宋体" w:eastAsia="宋体"/>
          <w:sz w:val="21"/>
        </w:rPr>
        <w:t>输出结果可用于三类场景：一是展示主配微协同潮流结果，包括电压、潮流和设备负载率；二是展示分区边界和并行计算状态，包括分区数量、收敛数量和误差指标；三是为后续优化调度、越限分析和灵敏度分析提供基础潮流解。</w:t>
      </w:r>
    </w:p>
    <w:p>
      <w:pPr>
        <w:pStyle w:val="Heading3"/>
        <w:spacing w:line="360" w:lineRule="auto"/>
      </w:pPr>
      <w:r>
        <w:rPr>
          <w:rFonts w:ascii="黑体" w:hAnsi="黑体" w:eastAsia="黑体"/>
          <w:b/>
          <w:sz w:val="24"/>
        </w:rPr>
        <w:t>2.9.2 可替换模型设计</w:t>
      </w:r>
    </w:p>
    <w:p>
      <w:pPr>
        <w:spacing w:line="360" w:lineRule="auto"/>
        <w:ind w:firstLine="420"/>
      </w:pPr>
      <w:r>
        <w:rPr>
          <w:rFonts w:ascii="宋体" w:hAnsi="宋体" w:eastAsia="宋体"/>
          <w:sz w:val="21"/>
        </w:rPr>
        <w:t>模块采用分层接口设计，主网、配网和微网模型均可替换。主网模型可从BPA、MATPOWER或其他格式转换而来；配网负荷可由XLS曲线、实时量测或预测曲线提供；微网模型可由等值模型替换为真实多母线模型。只要保持PCC电压输入和P/Q输出接口，外部计算流程不变。</w:t>
      </w:r>
    </w:p>
    <w:p>
      <w:pPr>
        <w:spacing w:line="360" w:lineRule="auto"/>
        <w:ind w:firstLine="420"/>
      </w:pPr>
      <w:r>
        <w:rPr>
          <w:rFonts w:ascii="宋体" w:hAnsi="宋体" w:eastAsia="宋体"/>
          <w:sz w:val="21"/>
        </w:rPr>
        <w:t>对于分区算法，当前默认采用METIS加权图划分。后续可进一步引入谱聚类、社区发现、潮流灵敏度分区或多目标优化分区算法，与METIS结果对比。由于模块已经将分区构造和分区潮流求解解耦，替换分区算法不会影响API和局部潮流求解模块。</w:t>
      </w:r>
    </w:p>
    <w:p>
      <w:pPr>
        <w:pStyle w:val="Heading3"/>
        <w:spacing w:line="360" w:lineRule="auto"/>
      </w:pPr>
      <w:r>
        <w:rPr>
          <w:rFonts w:ascii="黑体" w:hAnsi="黑体" w:eastAsia="黑体"/>
          <w:b/>
          <w:sz w:val="24"/>
        </w:rPr>
        <w:t>2.9.3 性能扩展方向</w:t>
      </w:r>
    </w:p>
    <w:p>
      <w:pPr>
        <w:spacing w:line="360" w:lineRule="auto"/>
        <w:ind w:firstLine="420"/>
      </w:pPr>
      <w:r>
        <w:rPr>
          <w:rFonts w:ascii="宋体" w:hAnsi="宋体" w:eastAsia="宋体"/>
          <w:sz w:val="21"/>
        </w:rPr>
        <w:t>当前验证断面规模约为两千多个主配网母线，加上6个33节点微网后逻辑总节点数约为两千三百个。对于更大规模示范区，可通过提高分区数量、增加进程池并行度、缓存微网模型和复用分区结果提升计算效率。</w:t>
      </w:r>
    </w:p>
    <w:p>
      <w:pPr>
        <w:spacing w:line="360" w:lineRule="auto"/>
        <w:ind w:firstLine="420"/>
      </w:pPr>
      <w:r>
        <w:rPr>
          <w:rFonts w:ascii="宋体" w:hAnsi="宋体" w:eastAsia="宋体"/>
          <w:sz w:val="21"/>
        </w:rPr>
        <w:t>更进一步，主网侧也可以引入分区求解。当主网规模达到数万节点时，可采用已有的主网分区潮流框架，对主网进行按边界母线锚定的分区计算。对于当前河北示范区算例，主网仅67个母线，主网整体求解更简单、更稳定，因此本阶段没有强行拆分主网。</w:t>
      </w:r>
    </w:p>
    <w:p>
      <w:pPr>
        <w:pStyle w:val="Heading2"/>
        <w:spacing w:line="360" w:lineRule="auto"/>
      </w:pPr>
      <w:r>
        <w:rPr>
          <w:rFonts w:ascii="黑体" w:hAnsi="黑体" w:eastAsia="黑体"/>
          <w:b/>
          <w:sz w:val="28"/>
        </w:rPr>
        <w:t>2.10 后续工作计划</w:t>
      </w:r>
    </w:p>
    <w:p>
      <w:pPr>
        <w:spacing w:line="360" w:lineRule="auto"/>
        <w:ind w:firstLine="420"/>
      </w:pPr>
      <w:r>
        <w:rPr>
          <w:rFonts w:ascii="宋体" w:hAnsi="宋体" w:eastAsia="宋体"/>
          <w:sz w:val="21"/>
        </w:rPr>
        <w:t>后续工作首先是补充真实微网数据接入能力。建议河北侧提供微网接入PCC、设备台账、光伏和储能容量、负荷曲线、控制方式和并网点量测数据。获得这些信息后，可将当前等值微网替换为真实微网模型，进一步验证微网控制策略对配网潮流的影响。</w:t>
      </w:r>
    </w:p>
    <w:p>
      <w:pPr>
        <w:spacing w:line="360" w:lineRule="auto"/>
        <w:ind w:firstLine="420"/>
      </w:pPr>
      <w:r>
        <w:rPr>
          <w:rFonts w:ascii="宋体" w:hAnsi="宋体" w:eastAsia="宋体"/>
          <w:sz w:val="21"/>
        </w:rPr>
        <w:t>第二是开展多时段连续计算验证。当前已验证13点和20点两个断面，后续可利用馈线XLS中的96个15分钟时刻，形成全天主配微连续潮流计算。多时段验证可以观察分区结果随负荷变化的稳定性，也可以检验微网PCC电压和等值功率随时间变化的趋势。</w:t>
      </w:r>
    </w:p>
    <w:p>
      <w:pPr>
        <w:spacing w:line="360" w:lineRule="auto"/>
        <w:ind w:firstLine="420"/>
      </w:pPr>
      <w:r>
        <w:rPr>
          <w:rFonts w:ascii="宋体" w:hAnsi="宋体" w:eastAsia="宋体"/>
          <w:sz w:val="21"/>
        </w:rPr>
        <w:t>第三是完善边界功率迭代策略。当前示范区流程采用边界电压固定和微网等值注入迭代，已能满足功能验证。后续可进一步加入主配边界功率反馈、松弛因子和收敛判据，形成更完整的主配微外层协调迭代。</w:t>
      </w:r>
    </w:p>
    <w:p>
      <w:pPr>
        <w:spacing w:line="360" w:lineRule="auto"/>
        <w:ind w:firstLine="420"/>
      </w:pPr>
      <w:r>
        <w:rPr>
          <w:rFonts w:ascii="宋体" w:hAnsi="宋体" w:eastAsia="宋体"/>
          <w:sz w:val="21"/>
        </w:rPr>
        <w:t>第四是完善工程化服务部署。包括接口鉴权、请求参数校验、结果分页返回、分区图可视化、异常断面处理和日志追踪。对外服务需要保证调用方能够清晰看到输入数据版本、计算配置、分区算法版本和输出结果状态。</w:t>
      </w:r>
    </w:p>
    <w:p>
      <w:pPr>
        <w:spacing w:line="360" w:lineRule="auto"/>
        <w:ind w:firstLine="420"/>
      </w:pPr>
      <w:r>
        <w:rPr>
          <w:rFonts w:ascii="宋体" w:hAnsi="宋体" w:eastAsia="宋体"/>
          <w:sz w:val="21"/>
        </w:rPr>
        <w:t>第五是形成对比验证材料。建议保留单体全网潮流、物理连通分区潮流和METIS智能分区潮流三组结果，比较分区数量、切边数量、并行耗时和误差指标。这将有助于说明智能分区算法相较基础连通分区的改进效果。</w:t>
      </w:r>
    </w:p>
    <w:p>
      <w:pPr>
        <w:pStyle w:val="Heading2"/>
        <w:spacing w:line="360" w:lineRule="auto"/>
      </w:pPr>
      <w:r>
        <w:rPr>
          <w:rFonts w:ascii="黑体" w:hAnsi="黑体" w:eastAsia="黑体"/>
          <w:b/>
          <w:sz w:val="28"/>
        </w:rPr>
        <w:t>2.11 附录：可复现实验记录与结果解释</w:t>
      </w:r>
    </w:p>
    <w:p>
      <w:pPr>
        <w:pStyle w:val="Heading3"/>
        <w:spacing w:line="360" w:lineRule="auto"/>
      </w:pPr>
      <w:r>
        <w:rPr>
          <w:rFonts w:ascii="黑体" w:hAnsi="黑体" w:eastAsia="黑体"/>
          <w:b/>
          <w:sz w:val="24"/>
        </w:rPr>
        <w:t>2.11.1 实验环境与运行方式</w:t>
      </w:r>
    </w:p>
    <w:p>
      <w:pPr>
        <w:spacing w:line="360" w:lineRule="auto"/>
        <w:ind w:firstLine="420"/>
      </w:pPr>
      <w:r>
        <w:rPr>
          <w:rFonts w:ascii="宋体" w:hAnsi="宋体" w:eastAsia="宋体"/>
          <w:sz w:val="21"/>
        </w:rPr>
        <w:t>本功能模块采用Python环境实现，核心计算依赖pandapower、networkx和pymetis。其中pandapower用于主配网和微网潮流计算，networkx用于电网拓扑图构造与连通性检查，pymetis用于加权图划分。API服务采用Python标准库HTTP服务封装，便于在没有复杂Web框架依赖的情况下完成原型验证。</w:t>
      </w:r>
    </w:p>
    <w:p>
      <w:pPr>
        <w:spacing w:line="360" w:lineRule="auto"/>
        <w:ind w:firstLine="420"/>
      </w:pPr>
      <w:r>
        <w:rPr>
          <w:rFonts w:ascii="宋体" w:hAnsi="宋体" w:eastAsia="宋体"/>
          <w:sz w:val="21"/>
        </w:rPr>
        <w:t>本地服务启动命令为python start_api.py，默认监听127.0.0.1:8000。调用方可执行python call_api.py进行默认13点断面计算，也可通过--scenario 20点切换至20点断面。若需要查看完整JSON返回结果，可增加--full参数；若需要关闭微网，可增加--no-microgrid参数；若需要调整微网数量，可使用--demo-mg-count参数。</w:t>
      </w:r>
    </w:p>
    <w:p>
      <w:pPr>
        <w:spacing w:line="360" w:lineRule="auto"/>
        <w:ind w:firstLine="420"/>
      </w:pPr>
      <w:r>
        <w:rPr>
          <w:rFonts w:ascii="宋体" w:hAnsi="宋体" w:eastAsia="宋体"/>
          <w:sz w:val="21"/>
        </w:rPr>
        <w:t>默认调用时，模块自动读取河北示范区转换后的pandapower模型、馈线负荷JSON和微网配置参数。由于微网模型采用缓存机制，首次运行时会生成微网内部pandapower模型文件，后续相同参数可直接复用缓存，从而减少重复建模时间。</w:t>
      </w:r>
    </w:p>
    <w:p>
      <w:pPr>
        <w:pStyle w:val="Heading3"/>
        <w:spacing w:line="360" w:lineRule="auto"/>
      </w:pPr>
      <w:r>
        <w:rPr>
          <w:rFonts w:ascii="黑体" w:hAnsi="黑体" w:eastAsia="黑体"/>
          <w:b/>
          <w:sz w:val="24"/>
        </w:rPr>
        <w:t>2.11.2 13点断面复现实验记录</w:t>
      </w:r>
    </w:p>
    <w:p>
      <w:pPr>
        <w:spacing w:line="360" w:lineRule="auto"/>
        <w:ind w:firstLine="420"/>
      </w:pPr>
      <w:r>
        <w:rPr>
          <w:rFonts w:ascii="宋体" w:hAnsi="宋体" w:eastAsia="宋体"/>
          <w:sz w:val="21"/>
        </w:rPr>
        <w:t>13点断面默认读取13:00时刻馈线负荷。模块首先完成1559条馈线负荷记录回写，然后求解基础主配网潮流。基础潮流收敛后，模块按配网分区负荷规模选择6个微网PCC，分别位于QRTY2、NHAY1、QRTY1、LAJY1、TYNY1、NHAY2等母线。</w:t>
      </w:r>
    </w:p>
    <w:p>
      <w:pPr>
        <w:spacing w:line="360" w:lineRule="auto"/>
        <w:ind w:firstLine="420"/>
      </w:pPr>
      <w:r>
        <w:rPr>
          <w:rFonts w:ascii="宋体" w:hAnsi="宋体" w:eastAsia="宋体"/>
          <w:sz w:val="21"/>
        </w:rPr>
        <w:t>6个微网内部均为33节点低压网络，合计198个微网内部节点。微网在PCC电压条件下并行求解后，总等值有功注入约1.0869MW，总等值无功注入约−0.1924Mvar。微网等值注入写回配网后，全网潮流再次收敛，说明等值微网不会破坏主配网潮流可解性。</w:t>
      </w:r>
    </w:p>
    <w:p>
      <w:pPr>
        <w:spacing w:line="360" w:lineRule="auto"/>
        <w:ind w:firstLine="420"/>
      </w:pPr>
      <w:r>
        <w:rPr>
          <w:rFonts w:ascii="宋体" w:hAnsi="宋体" w:eastAsia="宋体"/>
          <w:sz w:val="21"/>
        </w:rPr>
        <w:t>13点断面经METIS分区后形成63个配网分区。分区结果显示，主配边界变压器唯一计数仍为70，配网内部新增分区边界使唯一边界母线数增加到83。所有63个分区均收敛，最大电压幅值偏差为3.60×10^-7pu，说明分区边界条件与全网潮流结果高度一致。</w:t>
      </w:r>
    </w:p>
    <w:p>
      <w:pPr>
        <w:pStyle w:val="Heading3"/>
        <w:spacing w:line="360" w:lineRule="auto"/>
      </w:pPr>
      <w:r>
        <w:rPr>
          <w:rFonts w:ascii="黑体" w:hAnsi="黑体" w:eastAsia="黑体"/>
          <w:b/>
          <w:sz w:val="24"/>
        </w:rPr>
        <w:t>2.11.3 20点断面复现实验记录</w:t>
      </w:r>
    </w:p>
    <w:p>
      <w:pPr>
        <w:spacing w:line="360" w:lineRule="auto"/>
        <w:ind w:firstLine="420"/>
      </w:pPr>
      <w:r>
        <w:rPr>
          <w:rFonts w:ascii="宋体" w:hAnsi="宋体" w:eastAsia="宋体"/>
          <w:sz w:val="21"/>
        </w:rPr>
        <w:t>20点断面默认读取20:00时刻馈线负荷。与13点断面相比，20点断面的负荷状态和潮流方向发生变化，全网外部电源有功结果也相应变化。模块仍能稳定完成馈线负荷回写、主配潮流求解、微网并行求解和配网分区并行求解。</w:t>
      </w:r>
    </w:p>
    <w:p>
      <w:pPr>
        <w:spacing w:line="360" w:lineRule="auto"/>
        <w:ind w:firstLine="420"/>
      </w:pPr>
      <w:r>
        <w:rPr>
          <w:rFonts w:ascii="宋体" w:hAnsi="宋体" w:eastAsia="宋体"/>
          <w:sz w:val="21"/>
        </w:rPr>
        <w:t>20点断面选择的微网PCC包括QRTY2、QRTY1、OBFY1、FUNY2、LQTY1、LAJY1等母线。6个微网总等值有功注入约1.0918MW，总等值无功注入约−0.1881Mvar，PCC电压范围为0.9700pu至0.9890pu。该结果说明微网等值注入随PCC电压和断面状态变化而变化。</w:t>
      </w:r>
    </w:p>
    <w:p>
      <w:pPr>
        <w:spacing w:line="360" w:lineRule="auto"/>
        <w:ind w:firstLine="420"/>
      </w:pPr>
      <w:r>
        <w:rPr>
          <w:rFonts w:ascii="宋体" w:hAnsi="宋体" w:eastAsia="宋体"/>
          <w:sz w:val="21"/>
        </w:rPr>
        <w:t>20点断面经METIS分区后形成64个配网分区，所有分区均收敛。最大电压幅值偏差为3.07×10^-7pu，最大相角偏差为7.34×10^-5度。与13点断面相比，20点断面分区数量略有差异，这是加权图分区随潮流权重变化自适应调整的结果。</w:t>
      </w:r>
    </w:p>
    <w:p>
      <w:pPr>
        <w:pStyle w:val="Heading3"/>
        <w:spacing w:line="360" w:lineRule="auto"/>
      </w:pPr>
      <w:r>
        <w:rPr>
          <w:rFonts w:ascii="黑体" w:hAnsi="黑体" w:eastAsia="黑体"/>
          <w:b/>
          <w:sz w:val="24"/>
        </w:rPr>
        <w:t>2.11.4 输出字段解释</w:t>
      </w:r>
    </w:p>
    <w:p>
      <w:pPr>
        <w:spacing w:line="360" w:lineRule="auto"/>
        <w:ind w:firstLine="420"/>
      </w:pPr>
      <w:r>
        <w:rPr>
          <w:rFonts w:ascii="宋体" w:hAnsi="宋体" w:eastAsia="宋体"/>
          <w:sz w:val="21"/>
        </w:rPr>
        <w:t>summary中的bus_count表示主配网显式母线数量，不包含微网内部独立模型母线；total_nodes表示主配网母线与微网内部节点合计后的逻辑节点数。microgrid_nodes_total表示所有微网内部节点数量，total_mg表示接入的等值微网数量。</w:t>
      </w:r>
    </w:p>
    <w:p>
      <w:pPr>
        <w:spacing w:line="360" w:lineRule="auto"/>
        <w:ind w:firstLine="420"/>
      </w:pPr>
      <w:r>
        <w:rPr>
          <w:rFonts w:ascii="宋体" w:hAnsi="宋体" w:eastAsia="宋体"/>
          <w:sz w:val="21"/>
        </w:rPr>
        <w:t>d_n_parts表示本次配网分区数量，d_partition_converged表示并行潮流中收敛的分区数量，d_partition_failed表示失败分区数量。d_graph_algorithm记录分区算法名称，当前为METIS_KWAY。d_metis_total_edge_cuts表示METIS内部加权切边统计，total_inter_partition_cut_edge_count表示最终电网拓扑层面的实际分区间切边数。</w:t>
      </w:r>
    </w:p>
    <w:p>
      <w:pPr>
        <w:spacing w:line="360" w:lineRule="auto"/>
        <w:ind w:firstLine="420"/>
      </w:pPr>
      <w:r>
        <w:rPr>
          <w:rFonts w:ascii="宋体" w:hAnsi="宋体" w:eastAsia="宋体"/>
          <w:sz w:val="21"/>
        </w:rPr>
        <w:t>microgrid_p_mw_total和microgrid_q_mvar_total分别表示所有微网对外等值注入的有功和无功总和。正有功表示微网整体向配网注入有功，负有功表示微网整体从配网吸收有功。当前两个断面的微网均表现为小规模有功注入。</w:t>
      </w:r>
    </w:p>
    <w:p>
      <w:pPr>
        <w:pStyle w:val="Heading3"/>
        <w:spacing w:line="360" w:lineRule="auto"/>
      </w:pPr>
      <w:r>
        <w:rPr>
          <w:rFonts w:ascii="黑体" w:hAnsi="黑体" w:eastAsia="黑体"/>
          <w:b/>
          <w:sz w:val="24"/>
        </w:rPr>
        <w:t>2.11.5 结果使用注意事项</w:t>
      </w:r>
    </w:p>
    <w:p>
      <w:pPr>
        <w:spacing w:line="360" w:lineRule="auto"/>
        <w:ind w:firstLine="420"/>
      </w:pPr>
      <w:r>
        <w:rPr>
          <w:rFonts w:ascii="宋体" w:hAnsi="宋体" w:eastAsia="宋体"/>
          <w:sz w:val="21"/>
        </w:rPr>
        <w:t>当前结果用于验证功能模块的计算流程，不用于直接给出调度运行建议。原因在于示范区原始断面中部分设备负载率较高，且微网为等值模型而非真实台账模型。因此报告中应强调“功能验证”和“算法验证”，不应将等值微网结果解释为真实现场微网运行结果。</w:t>
      </w:r>
    </w:p>
    <w:p>
      <w:pPr>
        <w:spacing w:line="360" w:lineRule="auto"/>
        <w:ind w:firstLine="420"/>
      </w:pPr>
      <w:r>
        <w:rPr>
          <w:rFonts w:ascii="宋体" w:hAnsi="宋体" w:eastAsia="宋体"/>
          <w:sz w:val="21"/>
        </w:rPr>
        <w:t>如果后续用于工程展示，可将输出结果进一步可视化。建议绘制三类图：主配边界拓扑示意图、METIS配网分区示意图、微网PCC接入位置图。当前Word稿中未放置实际图形，主要原因是报告模板尚需与其他单位内容统一排版；后续可根据总报告风格补充图件。</w:t>
      </w:r>
    </w:p>
    <w:p>
      <w:pPr>
        <w:pStyle w:val="Heading3"/>
        <w:spacing w:line="360" w:lineRule="auto"/>
      </w:pPr>
      <w:r>
        <w:rPr>
          <w:rFonts w:ascii="黑体" w:hAnsi="黑体" w:eastAsia="黑体"/>
          <w:b/>
          <w:sz w:val="24"/>
        </w:rPr>
        <w:t>2.11.6 与后续课题接口关系</w:t>
      </w:r>
    </w:p>
    <w:p>
      <w:pPr>
        <w:spacing w:line="360" w:lineRule="auto"/>
        <w:ind w:firstLine="420"/>
      </w:pPr>
      <w:r>
        <w:rPr>
          <w:rFonts w:ascii="宋体" w:hAnsi="宋体" w:eastAsia="宋体"/>
          <w:sz w:val="21"/>
        </w:rPr>
        <w:t>本功能模块输出的分区结果和潮流结果可作为后续优化调度、状态估计、越限分析和灵敏度分析模块的输入。分区边界信息能够帮助后续模块限定计算范围，减少重复建模；微网等值注入结果能够帮助后续模块考虑微网对配网电压和潮流的影响。</w:t>
      </w:r>
    </w:p>
    <w:p>
      <w:pPr>
        <w:spacing w:line="360" w:lineRule="auto"/>
        <w:ind w:firstLine="420"/>
      </w:pPr>
      <w:r>
        <w:rPr>
          <w:rFonts w:ascii="宋体" w:hAnsi="宋体" w:eastAsia="宋体"/>
          <w:sz w:val="21"/>
        </w:rPr>
        <w:t>接口层面，建议后续保持统一的数据对象：母线编号、设备编号、边界编号、分区编号、PCC编号和断面时间戳。只要各模块使用统一编号体系，本模块输出的结果可以被其他软件厂家或课题组继续调用。</w:t>
      </w:r>
    </w:p>
    <w:p>
      <w:pPr>
        <w:pStyle w:val="Heading3"/>
        <w:spacing w:line="360" w:lineRule="auto"/>
      </w:pPr>
      <w:r>
        <w:rPr>
          <w:rFonts w:ascii="黑体" w:hAnsi="黑体" w:eastAsia="黑体"/>
          <w:b/>
          <w:sz w:val="24"/>
        </w:rPr>
        <w:t>2.11.7 阶段性成果表述建议</w:t>
      </w:r>
    </w:p>
    <w:p>
      <w:pPr>
        <w:spacing w:line="360" w:lineRule="auto"/>
        <w:ind w:firstLine="420"/>
      </w:pPr>
      <w:r>
        <w:rPr>
          <w:rFonts w:ascii="宋体" w:hAnsi="宋体" w:eastAsia="宋体"/>
          <w:sz w:val="21"/>
        </w:rPr>
        <w:t>在年中会汇报中，北京邮电大学负责部分可概括为三项阶段成果：一是完成河北示范区主配网模型接入和馈线负荷曲线接入；二是形成主配边界自动识别、METIS配网智能分区和分区并行潮流计算能力；三是接入等值微网模型，实现微网并行求解和主配微PCC等值交互。</w:t>
      </w:r>
    </w:p>
    <w:p>
      <w:pPr>
        <w:spacing w:line="360" w:lineRule="auto"/>
        <w:ind w:firstLine="420"/>
      </w:pPr>
      <w:r>
        <w:rPr>
          <w:rFonts w:ascii="宋体" w:hAnsi="宋体" w:eastAsia="宋体"/>
          <w:sz w:val="21"/>
        </w:rPr>
        <w:t>需要谨慎表述的内容包括：当前微网是等值验证模型，不是河北提供的真实微网模型；当前主网未进行分区，是因为示范区主网规模仅67个母线，整体求解更合理；当前算法已经使用METIS进行配网智能分区，但METIS是在主配物理边界之后对较大配网连通分量进行细分，而不是把物理不相连区域硬性打包。</w:t>
      </w:r>
    </w:p>
    <w:p>
      <w:pPr>
        <w:pStyle w:val="Heading2"/>
        <w:spacing w:line="360" w:lineRule="auto"/>
      </w:pPr>
      <w:r>
        <w:rPr>
          <w:rFonts w:ascii="黑体" w:hAnsi="黑体" w:eastAsia="黑体"/>
          <w:b/>
          <w:sz w:val="28"/>
        </w:rPr>
        <w:t>2.12 与年中会填报口径的对应关系</w:t>
      </w:r>
    </w:p>
    <w:p>
      <w:pPr>
        <w:pStyle w:val="Heading3"/>
        <w:spacing w:line="360" w:lineRule="auto"/>
      </w:pPr>
      <w:r>
        <w:rPr>
          <w:rFonts w:ascii="黑体" w:hAnsi="黑体" w:eastAsia="黑体"/>
          <w:b/>
          <w:sz w:val="24"/>
        </w:rPr>
        <w:t>2.12.1 “区域划分与解耦”对应内容</w:t>
      </w:r>
    </w:p>
    <w:p>
      <w:pPr>
        <w:spacing w:line="360" w:lineRule="auto"/>
        <w:ind w:firstLine="420"/>
      </w:pPr>
      <w:r>
        <w:rPr>
          <w:rFonts w:ascii="宋体" w:hAnsi="宋体" w:eastAsia="宋体"/>
          <w:b w:val="0"/>
          <w:sz w:val="21"/>
        </w:rPr>
        <w:t>“区域划分与解耦”在本模块中对应主配边界识别、配网物理连通分量提取、METIS智能图划分和边界电压解耦四个步骤。正式填报时可表述为：基于电网拓扑图和主配变压器接口自动识别主配边界，在配网侧以物理连通分量为基础，对大规模配网片区采用METIS加权图划分算法进行智能分区，并以边界母线电压作为分区潮流计算边界条件，实现主配、配微之间的解耦计算。</w:t>
      </w:r>
    </w:p>
    <w:p>
      <w:pPr>
        <w:spacing w:line="360" w:lineRule="auto"/>
        <w:ind w:firstLine="420"/>
      </w:pPr>
      <w:r>
        <w:rPr>
          <w:rFonts w:ascii="宋体" w:hAnsi="宋体" w:eastAsia="宋体"/>
          <w:b w:val="0"/>
          <w:sz w:val="21"/>
        </w:rPr>
        <w:t>该表述中的“先进性”主要体现在两点：一是分区不是人工指定，而是由拓扑图、电压等级、主配边界和METIS算法自动生成；二是分区结果不是单纯计算批次，而是经过物理连通性修复和小碎片合并，可直接作为局部潮流子问题。该部分已经在河北示范区13点和20点断面验证，两个断面均形成稳定的主配边界识别结果和可收敛的配网分区结果。</w:t>
      </w:r>
    </w:p>
    <w:p>
      <w:pPr>
        <w:spacing w:line="360" w:lineRule="auto"/>
        <w:ind w:firstLine="420"/>
      </w:pPr>
      <w:r>
        <w:rPr>
          <w:rFonts w:ascii="宋体" w:hAnsi="宋体" w:eastAsia="宋体"/>
          <w:b w:val="0"/>
          <w:sz w:val="21"/>
        </w:rPr>
        <w:t>如果在数据清单中填写输入数据，可对应为主配网模型数据、线路和变压器连接关系、母线电压等级、馈线负荷曲线、等值微网配置参数。输出数据可对应为主配边界清单、配网分区清单、分区边界母线、METIS切边统计、分区收敛状态和分区误差指标。数据来源应以河北示范区提供的主配网算例和馈线负荷数据为主体，微网部分注明为等值模型验证参数。</w:t>
      </w:r>
    </w:p>
    <w:p>
      <w:pPr>
        <w:pStyle w:val="Heading3"/>
        <w:spacing w:line="360" w:lineRule="auto"/>
      </w:pPr>
      <w:r>
        <w:rPr>
          <w:rFonts w:ascii="黑体" w:hAnsi="黑体" w:eastAsia="黑体"/>
          <w:b/>
          <w:sz w:val="24"/>
        </w:rPr>
        <w:t>2.12.2 “并行潮流计算”对应内容</w:t>
      </w:r>
    </w:p>
    <w:p>
      <w:pPr>
        <w:spacing w:line="360" w:lineRule="auto"/>
        <w:ind w:firstLine="420"/>
      </w:pPr>
      <w:r>
        <w:rPr>
          <w:rFonts w:ascii="宋体" w:hAnsi="宋体" w:eastAsia="宋体"/>
          <w:b w:val="0"/>
          <w:sz w:val="21"/>
        </w:rPr>
        <w:t>“并行潮流计算”在本模块中对应配网分区并行潮流和微网并行潮流两类任务。配网分区并行潮流以METIS分区为任务单元，各分区在给定边界电压条件下独立构造局部网络并求解潮流；微网并行潮流以PCC微网为任务单元，各微网在给定PCC电压下独立求解内部潮流并返回等值P/Q。</w:t>
      </w:r>
    </w:p>
    <w:p>
      <w:pPr>
        <w:spacing w:line="360" w:lineRule="auto"/>
        <w:ind w:firstLine="420"/>
      </w:pPr>
      <w:r>
        <w:rPr>
          <w:rFonts w:ascii="宋体" w:hAnsi="宋体" w:eastAsia="宋体"/>
          <w:b w:val="0"/>
          <w:sz w:val="21"/>
        </w:rPr>
        <w:t>正式填报时可表述为：采用主配边界电压固定和微网PCC等值功率交互的解耦策略，将配网分区潮流和微网潮流拆分为多个可并行子任务，利用进程池实现并行求解，并在计算完成后汇总全网收敛状态、分区收敛状态、微网等值注入和误差校验指标。该表述能够与当前实现完全对应，避免出现无法落地的过度描述。</w:t>
      </w:r>
    </w:p>
    <w:p>
      <w:pPr>
        <w:spacing w:line="360" w:lineRule="auto"/>
        <w:ind w:firstLine="420"/>
      </w:pPr>
      <w:r>
        <w:rPr>
          <w:rFonts w:ascii="宋体" w:hAnsi="宋体" w:eastAsia="宋体"/>
          <w:b w:val="0"/>
          <w:sz w:val="21"/>
        </w:rPr>
        <w:t>在河北示范区验证中，13点断面接入6个等值微网后形成63个配网分区，63个分区全部收敛；20点断面接入6个等值微网后形成64个配网分区，64个分区全部收敛。两个断面均完成微网并行求解、主配网潮流重算和配网分区并行潮流校验，可作为年中会阶段的算例验证结果。</w:t>
      </w:r>
    </w:p>
    <w:p>
      <w:pPr>
        <w:pStyle w:val="Heading3"/>
        <w:spacing w:line="360" w:lineRule="auto"/>
      </w:pPr>
      <w:r>
        <w:rPr>
          <w:rFonts w:ascii="黑体" w:hAnsi="黑体" w:eastAsia="黑体"/>
          <w:b/>
          <w:sz w:val="24"/>
        </w:rPr>
        <w:t>2.12.3 对外汇报时应避免的表述</w:t>
      </w:r>
    </w:p>
    <w:p>
      <w:pPr>
        <w:spacing w:line="360" w:lineRule="auto"/>
        <w:ind w:firstLine="420"/>
      </w:pPr>
      <w:r>
        <w:rPr>
          <w:rFonts w:ascii="宋体" w:hAnsi="宋体" w:eastAsia="宋体"/>
          <w:b w:val="0"/>
          <w:sz w:val="21"/>
        </w:rPr>
        <w:t>第一，不宜表述为“河北示范区已提供真实微网模型并完成真实微网计算”。当前微网为等值模型，用于验证主配微接口和并行流程。准确表述应为“在河北示范区主配网算例基础上，接入等值微网模型开展主配微接口和并行潮流验证”。</w:t>
      </w:r>
    </w:p>
    <w:p>
      <w:pPr>
        <w:spacing w:line="360" w:lineRule="auto"/>
        <w:ind w:firstLine="420"/>
      </w:pPr>
      <w:r>
        <w:rPr>
          <w:rFonts w:ascii="宋体" w:hAnsi="宋体" w:eastAsia="宋体"/>
          <w:b w:val="0"/>
          <w:sz w:val="21"/>
        </w:rPr>
        <w:t>第二，不宜表述为“主网也进行了复杂分区”。当前河北示范区主网仅67个母线，整体求解更稳定、更符合算例规模。准确表述应为“当前示范区算例中主网整体求解，配网侧采用METIS智能分区并行求解；对于更大规模主网，框架可扩展主网分区”。</w:t>
      </w:r>
    </w:p>
    <w:p>
      <w:pPr>
        <w:spacing w:line="360" w:lineRule="auto"/>
        <w:ind w:firstLine="420"/>
      </w:pPr>
      <w:r>
        <w:rPr>
          <w:rFonts w:ascii="宋体" w:hAnsi="宋体" w:eastAsia="宋体"/>
          <w:b w:val="0"/>
          <w:sz w:val="21"/>
        </w:rPr>
        <w:t>第三，不宜把METIS分区说成完全脱离物理边界的任意聚类。当前模块先识别主配物理边界和配网连通分量，再对较大的配网连通分量内部进行METIS细分，并做连通性修复。因此准确表述应强调“物理边界约束下的METIS加权图划分”。</w:t>
      </w:r>
    </w:p>
    <w:p>
      <w:pPr>
        <w:pStyle w:val="Heading3"/>
        <w:spacing w:line="360" w:lineRule="auto"/>
      </w:pPr>
      <w:r>
        <w:rPr>
          <w:rFonts w:ascii="黑体" w:hAnsi="黑体" w:eastAsia="黑体"/>
          <w:b/>
          <w:sz w:val="24"/>
        </w:rPr>
        <w:t>2.12.4 当前阶段可交付成果</w:t>
      </w:r>
    </w:p>
    <w:p>
      <w:pPr>
        <w:spacing w:line="360" w:lineRule="auto"/>
        <w:ind w:firstLine="420"/>
      </w:pPr>
      <w:r>
        <w:rPr>
          <w:rFonts w:ascii="宋体" w:hAnsi="宋体" w:eastAsia="宋体"/>
          <w:b w:val="0"/>
          <w:sz w:val="21"/>
        </w:rPr>
        <w:t>当前阶段可交付成果包括：一套可运行的主配微潮流API服务；一套河北示范区13点、20点断面数据接入和验证流程；一套基于METIS的配网智能分区算法；一套等值微网接入和并行求解流程；以及分区结果、微网结果和潮流误差校验指标。</w:t>
      </w:r>
    </w:p>
    <w:p>
      <w:pPr>
        <w:spacing w:line="360" w:lineRule="auto"/>
        <w:ind w:firstLine="420"/>
      </w:pPr>
      <w:r>
        <w:rPr>
          <w:rFonts w:ascii="宋体" w:hAnsi="宋体" w:eastAsia="宋体"/>
          <w:b w:val="0"/>
          <w:sz w:val="21"/>
        </w:rPr>
        <w:t>这些成果能够支撑年中会材料中“理论分析”和“算例验证”两类要求。理论分析部分对应主配微边界变量、METIS分区目标函数、分区潮流子问题和微网等值模型；算例验证部分对应河北示范区两个断面的节点规模、分区数量、微网接入结果、收敛状态和误差指标。</w:t>
      </w:r>
    </w:p>
    <w:p>
      <w:pPr>
        <w:pStyle w:val="Heading1"/>
        <w:spacing w:before="120" w:after="120"/>
      </w:pPr>
      <w:r>
        <w:rPr>
          <w:rFonts w:ascii="黑体" w:hAnsi="黑体" w:eastAsia="黑体"/>
        </w:rPr>
        <w:t>参考文献（北京邮电大学负责部分建议）</w:t>
      </w:r>
    </w:p>
    <w:p>
      <w:pPr>
        <w:spacing w:line="360" w:lineRule="auto"/>
      </w:pPr>
      <w:r>
        <w:rPr>
          <w:rFonts w:ascii="宋体" w:hAnsi="宋体" w:eastAsia="宋体"/>
          <w:sz w:val="21"/>
        </w:rPr>
        <w:t>Karypis G., Kumar V. A fast and high quality multilevel scheme for partitioning irregular graphs. SIAM Journal on Scientific Computing, 1998.</w:t>
      </w:r>
    </w:p>
    <w:p>
      <w:pPr>
        <w:spacing w:line="360" w:lineRule="auto"/>
      </w:pPr>
      <w:r>
        <w:rPr>
          <w:rFonts w:ascii="宋体" w:hAnsi="宋体" w:eastAsia="宋体"/>
          <w:sz w:val="21"/>
        </w:rPr>
        <w:t>Zimmerman R. D., Murillo-Sanchez C. E., Thomas R. J. MATPOWER: Steady-state operations, planning, and analysis tools for power systems research and education. IEEE Transactions on Power Systems, 2011.</w:t>
      </w:r>
    </w:p>
    <w:p>
      <w:pPr>
        <w:spacing w:line="360" w:lineRule="auto"/>
      </w:pPr>
      <w:r>
        <w:rPr>
          <w:rFonts w:ascii="宋体" w:hAnsi="宋体" w:eastAsia="宋体"/>
          <w:sz w:val="21"/>
        </w:rPr>
        <w:t>Thurner L. et al. pandapower: An open-source python tool for convenient modeling, analysis, and optimization of electric power systems. IEEE Transactions on Power Systems, 2018.</w:t>
      </w:r>
    </w:p>
    <w:p>
      <w:pPr>
        <w:spacing w:line="360" w:lineRule="auto"/>
      </w:pPr>
      <w:r>
        <w:rPr>
          <w:rFonts w:ascii="宋体" w:hAnsi="宋体" w:eastAsia="宋体"/>
          <w:sz w:val="21"/>
        </w:rPr>
        <w:t>IEEE PES. IEEE 1547 Standard for Interconnection and Interoperability of Distributed Energy Resources with Associated Electric Power Systems Interfaces.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