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000000"/>
          <w:sz w:val="32"/>
        </w:rPr>
        <w:t>主配微电网分区解耦潮流计算软件功能概述</w:t>
      </w:r>
    </w:p>
    <w:p>
      <w:pPr>
        <w:spacing w:line="288" w:lineRule="auto" w:after="60"/>
      </w:pPr>
      <w:r>
        <w:rPr>
          <w:rFonts w:ascii="宋体" w:hAnsi="宋体" w:eastAsia="宋体"/>
          <w:b/>
          <w:color w:val="000000"/>
          <w:sz w:val="21"/>
        </w:rPr>
        <w:t>软件：主配微电网分区解耦潮流计算软件</w:t>
      </w:r>
    </w:p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功能概述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软件面向大规模主配微多层级协同计算，基于统一电网拓扑模型和主配、配微接口关系，实现按计算规模、接口节点和网络连通性约束的自动区域划分与边界解耦。软件形成可复用的分区结果和边界等效信息，并对区域覆盖完整性、接口节点完整性、子区域连通性进行校验，为后续并行潮流计算提供独立计算单元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在区域划分与边界解耦基础上，软件支持对配网区域、上级主网边界等效和微网等效模型进行并行潮流计算，并通过边界电压、边界功率等信息实现主配微多层级计算协同。与单一整网潮流或单层配网潮流相比，本功能面向多区域、多工况协同仿真场景，可提高计算任务并发执行能力，并输出主配微边界交互结果和整体潮流状态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本功能定位为确定性潮流计算和分区并行计算服务，输出可作为后续安全分析、控制策略和能量管理模块的基础计算结果。</w:t>
      </w:r>
    </w:p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功能架构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三层计算架构：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模型与接口关系层：接入配网拓扑模型、上级主网边界等效信息、主配接口关系、配微接口关系、设备参数和设备状态，形成区域划分和边界解耦所需的基础模型。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分区与边界解耦层：根据分区数量、目标区域规模、接口节点和网络连通性约束，自动生成区域划分结果，建立边界节点、边界等效模型和接口映射关系。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并行潮流计算层：对各分区、配网区域和微网等效模型进行独立潮流计算，汇总边界电压、边界功率、区域收敛状态和整体潮流状态。</w:t>
      </w:r>
    </w:p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功能设计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1. 区域自动划分：依据网络连通性、接口节点、目标区域规模和分区策略，对主配微拓扑进行自动划分，生成可复用的分区编号、区域节点集合、边界节点集合和区域设备集合。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2. 边界解耦建模：围绕主配接口和配微接口建立边界等效模型，明确接口方向、接口归属、边界电压初值和边界等效注入口径，支撑各区域独立计算。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3. 分区校验：对区域覆盖完整性、接口节点完整性、子区域连通性进行校验，避免出现节点遗漏、接口遗漏或孤立子图。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4. 并行潮流计算：对各分区并行执行潮流计算，汇总区域收敛状态、边界交互结果和整体潮流状态，为大规模多工况计算提供并发能力。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5. API服务输出：通过API接收计算任务、模型版本、工况编号和分区计算参数，返回分区结果、边界等效信息、潮流计算结果和任务追溯信息。</w:t>
      </w:r>
    </w:p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输入与输出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输入数据分为模型数据、断面数据和任务配置数据。节点电压、边界功率等运行量不作为离线数据集单独准备，而是在指定工况和时间戳下由D6.0、配电自动化系统（配自）、微网EMS或等值模型按断面读取或估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数据内容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数据来源系统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责任部门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数据类别</w:t>
            </w:r>
          </w:p>
        </w:tc>
        <w:tc>
          <w:tcPr>
            <w:tcW w:type="dxa" w:w="168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计算任务与模型基线：计算任务编号、模型版本、工况编号、区域划分策略、时间戳。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API调用/软件配置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任务配置数据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任务追溯、模型一致性校验和分区计算参数配置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35kV/10kV/0.4kV配网模型数据：母线、线路、配变、开关/刀闸连接关系、馈线拓扑关系、设备投运状态。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配电自动化系统（配自）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构建配网拓扑模型、识别配网区域、开展分区划分和配网潮流计算</w:t>
            </w:r>
          </w:p>
        </w:tc>
      </w:tr>
      <w:tr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主配接口及上级主网边界数据：主配接口变压器、主网侧节点、配网侧节点、接口电压等级、边界等效电压或功率初值。</w:t>
            </w:r>
          </w:p>
        </w:tc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D6.0</w:t>
            </w:r>
          </w:p>
        </w:tc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河北省调</w:t>
            </w:r>
          </w:p>
        </w:tc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模型及断面数据</w:t>
            </w:r>
          </w:p>
        </w:tc>
        <w:tc>
          <w:tcPr>
            <w:tcW w:type="dxa" w:w="1680"/>
            <w:vAlign w:val="center"/>
            <w:shd w:fill="EAF3F8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确定主配边界和分区解耦边界条件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10kV馈线模型数据：馈线编号、所属母线、上游节点、下游节点、节点名称、线路类型、线路长度、配变容量。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配电自动化系统（配自）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构建10kV馈线拓扑、匹配配网节点和开展配网分区潮流计算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10kV馈线量测数据：负荷有功功率、无功功率、投运状态，支持15分钟/96点断面。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配电自动化系统（配自）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历史数据、实时数据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形成配网负荷断面、馈线负荷回写和配网分区潮流校核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新能源、分布式电源及微网等值接入模型数据：接入节点编号、所属馈线、设备类型、装机容量、出力上下限；微网可提供PCC并网点和等值模型参数。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调控云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模型数据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潮流注入建模和主配微并行潮流计算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新能源、分布式电源及微网等值接入量测数据：有功功率、无功功率、投运状态；微网可提供并网点等值有功功率和无功功率。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调控云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石家庄地调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历史数据、实时数据</w:t>
            </w:r>
          </w:p>
        </w:tc>
        <w:tc>
          <w:tcPr>
            <w:tcW w:type="dxa" w:w="168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若未提供微网内部台账，可先提供并网点等值参数</w:t>
            </w:r>
          </w:p>
        </w:tc>
      </w:tr>
    </w:tbl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数据内容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用途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区域划分结果：分区编号、区域节点集合、区域设备集合、边界节点集合、接口映射关系。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为并行潮流计算提供独立计算单元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边界解耦结果：主配接口、配微接口、边界等效模型、边界电压和边界功率交互信息。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支撑主配微多层级协同计算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分区校验结果：区域覆盖完整性、接口节点完整性、子区域连通性、异常分区清单。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校验分区结果是否可用于计算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并行潮流结果：各分区收敛状态、整体潮流状态、节点电压、线路/变压器负载状态。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支撑潮流校核和后续安全分析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API任务结果：任务编号、模型版本、工况编号、计算状态、结果文件路径和错误信息。</w:t>
            </w:r>
          </w:p>
        </w:tc>
        <w:tc>
          <w:tcPr>
            <w:tcW w:type="dxa" w:w="3360"/>
            <w:vAlign w:val="center"/>
          </w:tcPr>
          <w:p>
            <w:pPr>
              <w:spacing w:line="252" w:lineRule="auto" w:after="0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用于外部系统调用、追溯和联调</w:t>
            </w:r>
          </w:p>
        </w:tc>
      </w:tr>
    </w:tbl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与D6.0重合模块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与D6.0的重合部分主要为上级主网边界模型读取、运行断面获取和基础潮流结果校核。本软件不替代D6.0基础潮流和调度运行功能，而是在D6.0和配电自动化系统（配自）已有模型、断面数据基础上增加主配微接口映射、区域自动划分、边界解耦、分区校验和并行潮流计算能力。</w:t>
      </w:r>
    </w:p>
    <w:p>
      <w:pPr>
        <w:spacing w:before="160" w:after="80"/>
      </w:pPr>
      <w:r>
        <w:rPr>
          <w:rFonts w:ascii="宋体" w:hAnsi="宋体" w:eastAsia="宋体"/>
          <w:b/>
          <w:color w:val="000000"/>
          <w:sz w:val="24"/>
        </w:rPr>
        <w:t>软件先进性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1. 相比人工分区，本软件基于拓扑连通性、接口节点和目标规模自动形成区域划分结果，并输出可复用的分区和边界信息。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2. 相比整网一次性计算，本软件能够将配网区域和微网等值模型拆分为独立计算单元，支撑多区域并行潮流计算。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3. 软件对区域覆盖完整性、接口节点完整性和子区域连通性进行校验，提升分区结果用于工程计算的可落地性。</w:t>
      </w:r>
    </w:p>
    <w:p>
      <w:pPr>
        <w:spacing w:line="288" w:lineRule="auto" w:after="60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4. 软件通过API方式提供标准化输入输出，便于与D6.0、配电自动化系统（配自）、微网EMS和后续安全分析模块集成。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主配微电网分区解耦潮流计算软件功能概述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