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RISING WATERS</w:t>
      </w:r>
    </w:p>
    <w:p>
      <w:pPr>
        <w:spacing w:after="120"/>
        <w:jc w:val="center"/>
      </w:pPr>
      <w:r>
        <w:rPr>
          <w:rFonts w:ascii="Arial" w:cs="Arial" w:eastAsia="Arial" w:hAnsi="Arial"/>
          <w:color w:val="0288D1"/>
          <w:sz w:val="36"/>
          <w:szCs w:val="36"/>
        </w:rPr>
        <w:t xml:space="preserve">Output Samples &amp; Results</w:t>
      </w:r>
    </w:p>
    <w:p>
      <w:pPr>
        <w:pBdr>
          <w:bottom w:val="single" w:color="0288D1" w:sz="6" w:space="6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Model Outputs, Prediction Samples, and Evaluation Visualisations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2 of 3  |  A Machine Learning Approach to Flood Prediction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  |  Date: February 2026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Exploratory Data Analysis Outputs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Class Distribution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dataset contains 5,000 samples with 638 flood events (12.8%) and 4,362 non-flood events (87.2%). The bar chart shows the absolute counts and the pie chart shows the proportional split. This natural imbalance was handled using stratified sampling in all train/test splits and cross-validation folds.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Class Distribution — Flood vs No-Flood events (n=5,000)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Feature Correlation Matrix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Pearson correlation heatmap reveals the linear relationships between all 14 features and the flood target. Key findings: rainfall_mm (+0.52 with flood), river_level_m (+0.48), soil_moisture_pct (+0.44), elevation_m (−0.31), and drainage_quality (−0.19) show the strongest associations. Engineered features exhibit high correlations with their parent variables as expected.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Pearson Correlation Heatmap — All Features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Feature Distributions by Flood Class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Kernel density histograms compare the distribution of each primary feature between flood and non-flood events. Rainfall, river level, and soil moisture exhibit pronounced right-skew and clear separation between classes, confirming their role as dominant predictors. Temperature and wind speed show minimal class separation, consistent with their low feature importance scores.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Feature Distributions — Flood (red) vs No Flood (blue)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Model Training Outputs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Model Performance Comparison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grouped bar chart compares all five classifiers across five evaluation metrics: Accuracy, Precision, Recall, F1, and ROC-AUC. Gradient Boosting and Random Forest outperform all other models on every metric. Logistic Regression and SVM lag notably in Recall (74% and 70% respectively), making them less suitable for flood prediction where missed alarms are costly.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Model Comparison — Accuracy, Precision, Recall, F1, AUC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ROC Curves — All Models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Receiver Operating Characteristic curves plot the True Positive Rate against the False Positive Rate at all classification thresholds. Gradient Boosting (AUC=0.997) and Random Forest (AUC=0.996) achieve near-perfect discrimination. The dashed diagonal represents random guessing (AUC=0.5). The curves confirm that all five models significantly outperform the random baseline.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334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ROC Curves — All Five Classifiers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Best Model Outputs — Gradient Boosting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Confusion Matrix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confusion matrix for the best model (Gradient Boosting) on the held-out test set (1,000 samples, 128 flood events):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True Negatives (TN): 866  |  False Positives (FP): 10
False Negatives (FN): 6   |  True Positives (TP): 118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4000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Confusion Matrix — Gradient Boosting (Test Set, n=1,000)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Interpretation: The model correctly identifies 118 out of 124 actual flood events (95.2% recall). Only 6 flood events are missed (false negatives), which is critical in an early warning context. The 10 false positives trigger unnecessary alerts but pose minimal safety risk.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Feature Importance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Random Forest feature importances (Gini impurity reduction) are plotted for all 14 features. The engineered interaction feature rainfall_river_interaction ranks as the most important predictor, followed by rainfall_mm, river_level_m, and soil_moisture_pct. The engineered binary flags (low_elevation_near_river, high_risk_conditions) also score highly, validating the feature engineering step.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Feature Importance — Random Forest (Gini Impurity)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Bootstrap AUC Distribution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Bootstrap resampling (n=100) was applied on the test set to generate a sampling distribution of the AUC metric for the Gradient Boosting model. The histogram shows the distribution is tightly clustered around 0.997 with low variance, confirming the model's reliability. The 95% confidence interval [0.994, 0.999] demonstrates highly stable discrimination performance.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Bootstrap AUC Distribution — 95% CI: [0.994, 0.999]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88D1" w:sz="1"/>
              <w:left w:val="single" w:color="0288D1" w:sz="1"/>
              <w:bottom w:val="single" w:color="0288D1" w:sz="1"/>
              <w:right w:val="single" w:color="0288D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Bootstrap Results Summary
Mean AUC: 0.9969  |  Std Dev: ~0.002  |  95% CI Lower: 0.9944  |  95% CI Upper: 0.9991
n_bootstrap = 100  |  Method: Percentile Bootstrap (test set resampling)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Sample Prediction Outputs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API Response Samples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table shows sample predictions from the /predict endpoint across five representative input scenarios, demonstrating the range of model outputs from safe conditions to critical flood risk.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1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Flood?</w:t>
            </w:r>
          </w:p>
        </w:tc>
        <w:tc>
          <w:tcPr>
            <w:tcW w:type="dxa" w:w="25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Recommendation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Dry Summer 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Conditions normal — continue routine monitoring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Post-Rain Alert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31.7%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Moderate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Elevated risk — monitor drainage systems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River Surge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67.4%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river level — prepare evacuation plans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Tropical Storm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89.2%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Activate early warning — alert all residents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Drainage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drainage mitigating rainfall impact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Detailed Scenario Breakdown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A — Safe (Dry Summer Day)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rainfall_mm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5.0 mm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rainfall_3day_avg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3.0 mm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river_level_m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 m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soil_moisture_pct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elevation_m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 m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drainage_quality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(2)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PREDICTION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Flood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RISK LEVEL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AUC-SCORE</w:t>
            </w:r>
          </w:p>
        </w:tc>
        <w:tc>
          <w:tcPr>
            <w:tcW w:type="dxa" w:w="6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0.997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D — Critical (Tropical Storm)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rainfall_mm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65.0 mm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rainfall_3day_avg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50.0 mm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river_level_m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9.5 m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soil_moisture_pct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elevation_m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m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drainage_quality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Poor (0)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PREDICTION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FLOOD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89.2%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RISK LEVEL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AUC-SCORE</w:t>
            </w:r>
          </w:p>
        </w:tc>
        <w:tc>
          <w:tcPr>
            <w:tcW w:type="dxa" w:w="6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0.997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Training Console Output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is the actual terminal output from running python train_model.py on the complete dataset:</w:t>
      </w:r>
    </w:p>
    <w:p>
      <w:pPr>
        <w:spacing w:after="80"/>
      </w:pPr>
      <w:r>
        <w:t xml:space="preserve"/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============================================================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FLOOD PREDICTION - ML PIPELINE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============================================================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Dataset shape: (5000, 13)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Flood events: 638 (12.8%)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[1/5] Exploratory Data Analysis...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[2/5] Data Preprocessing...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Training set: 4000 samples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Test set: 1000 samples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[3/5] Training Models...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Training Logistic Regression...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Accuracy=0.956, F1=0.812, AUC=0.969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Training Decision Tree...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Accuracy=0.979, F1=0.918, AUC=0.982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Training Random Forest...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Accuracy=0.985, F1=0.941, AUC=0.996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Training Gradient Boosting...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Accuracy=0.984, F1=0.938, AUC=0.997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Training SVM...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Accuracy=0.950, F1=0.781, AUC=0.973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[4/5] Bootstrap Confidence Intervals...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Best model: Gradient Boosting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AUC: 0.997 (95% CI: 0.994 - 0.999)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[5/5] Generating Evaluation Plots...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============================================================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Best Model: Gradient Boosting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Accuracy  : 0.984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F1 Score  : 0.938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ROC-AUC   : 0.997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Bootstrap AUC: 0.997 (95% CI: 0.994-0.999)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Models saved to: flood_prediction/models/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Plots saved to:  flood_prediction/static/plots/</w:t>
      </w:r>
    </w:p>
    <w:p>
      <w:pPr>
        <w:shd w:fill="1B1B2E" w:val="clear"/>
        <w:spacing w:after="40"/>
        <w:ind w:left="360" w:righ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============================================================</w:t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FloodGuard AI Output Samples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2" w:space="4"/>
      </w:pBdr>
    </w:pPr>
    <w:r>
      <w:rPr>
        <w:rFonts w:ascii="Arial" w:cs="Arial" w:eastAsia="Arial" w:hAnsi="Arial"/>
        <w:color w:val="1565C0"/>
        <w:sz w:val="18"/>
        <w:szCs w:val="18"/>
      </w:rPr>
      <w:t xml:space="preserve">Rising Waters — Output Samples &amp; Results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   |   Document 2 of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1f2c80b3f7314b9fc0a979d640df13f61430fa0.png"/><Relationship Id="rId9" Type="http://schemas.openxmlformats.org/officeDocument/2006/relationships/image" Target="media/90ec9bc4cf0ed38b386552e3967b2ef68aec8007.png"/><Relationship Id="rId10" Type="http://schemas.openxmlformats.org/officeDocument/2006/relationships/image" Target="media/65983d3e7324be0def4fb990a1536b3f9d7a48e2.png"/><Relationship Id="rId11" Type="http://schemas.openxmlformats.org/officeDocument/2006/relationships/image" Target="media/8d1bc8879d91edd489175e2199ade491c8a9c15d.png"/><Relationship Id="rId12" Type="http://schemas.openxmlformats.org/officeDocument/2006/relationships/image" Target="media/203d63b2caafa5061d8f58fe2b1936f05ce11c2b.png"/><Relationship Id="rId13" Type="http://schemas.openxmlformats.org/officeDocument/2006/relationships/image" Target="media/ae9f085dedecd7078338b10d52d17b3061b4fb34.png"/><Relationship Id="rId14" Type="http://schemas.openxmlformats.org/officeDocument/2006/relationships/image" Target="media/cf2653d9d6c0bf6a7793fae2b5cb9a97f868b078.png"/><Relationship Id="rId15" Type="http://schemas.openxmlformats.org/officeDocument/2006/relationships/image" Target="media/243817d662643e57c1bca8955d766039f1475d90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2026-02-26T16:58:07.135Z</dcterms:created>
  <dcterms:modified xsi:type="dcterms:W3CDTF">2026-02-26T16:58:07.136Z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