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EAA2E2">
      <w:pPr>
        <w:pStyle w:val="3"/>
        <w:jc w:val="center"/>
        <w:rPr>
          <w:rFonts w:hint="eastAsia" w:ascii="Times New Roman" w:hAnsi="Times New Roman" w:eastAsia="Times New Roman" w:cs="Times New Roman"/>
          <w:b/>
          <w:sz w:val="28"/>
        </w:rPr>
      </w:pPr>
      <w:r>
        <w:rPr>
          <w:rFonts w:hint="eastAsia" w:ascii="Times New Roman" w:hAnsi="Times New Roman" w:eastAsia="Times New Roman" w:cs="Times New Roman"/>
          <w:b/>
          <w:sz w:val="28"/>
        </w:rPr>
        <w:t>Effects of Exercise Interventions on Social Physique Anxiety in Females: A Systematic Review and Meta-analysis</w:t>
      </w:r>
    </w:p>
    <w:p w14:paraId="370351B1">
      <w:pPr>
        <w:pStyle w:val="3"/>
      </w:pPr>
      <w:r>
        <w:t>Research Background</w:t>
      </w:r>
    </w:p>
    <w:p w14:paraId="75B0EDFE">
      <w:pPr>
        <w:ind w:firstLine="480" w:firstLineChars="200"/>
      </w:pPr>
      <w:r>
        <w:t>Social physique anxiety (SPA) is anxiety arising from anticipated or experienced social evaluation of one's physique. It is distinct from general anxiety and body dissatisfaction, and is usually measured using the Social Physique Anxiety Scale (SPAS). SPA is relevant to psychological health because it may discourage participation in visible exercise settings and is associated with adverse body-related outcomes. Girls and women are a priority population because appearance-based social evaluation is salient across adolescence and adulthood. Structured exercise may reduce SPA through perceived competence, self-efficacy and body functionality; however, highly evaluative exercise contexts may also sustain it.</w:t>
      </w:r>
    </w:p>
    <w:p w14:paraId="2693ACB1">
      <w:pPr>
        <w:pStyle w:val="3"/>
      </w:pPr>
      <w:r>
        <w:t>Research Gap and Questions</w:t>
      </w:r>
    </w:p>
    <w:p w14:paraId="4BD2083E">
      <w:pPr>
        <w:ind w:firstLine="480" w:firstLineChars="200"/>
      </w:pPr>
      <w:r>
        <w:t xml:space="preserve">Existing reviews have synthesised SPA broadly, physical-activity correlations, dance, or general body-image outcomes, but none identified in this feasibility search quantitatively isolates the controlled effect of chronic structured exercise on validated trait SPA in females across modalities. The 2014 SPA synthesis was not an intervention Meta-analysis; a 2025 dance review did not pool SPA effects; and a 2026 Meta-analysis addressed physical-activity–SPA associations rather than intervention effects. </w:t>
      </w:r>
      <w:r>
        <w:br w:type="textWrapping"/>
      </w:r>
      <w:r>
        <w:t xml:space="preserve">RQ1: What is the effect of chronic structured exercise, versus inactive or usual-activity control, on trait SPA in girls and women? </w:t>
      </w:r>
      <w:r>
        <w:br w:type="textWrapping"/>
      </w:r>
      <w:r>
        <w:t xml:space="preserve">RQ2: </w:t>
      </w:r>
      <w:r>
        <w:rPr>
          <w:rFonts w:hint="default"/>
          <w:lang w:val="en-US"/>
        </w:rPr>
        <w:t>D</w:t>
      </w:r>
      <w:r>
        <w:t>o effects vary by exercise modality, age group, comparator, or study design?</w:t>
      </w:r>
    </w:p>
    <w:p w14:paraId="404D8B6C">
      <w:pPr>
        <w:pStyle w:val="3"/>
      </w:pPr>
      <w:r>
        <w:t>Research Objectives</w:t>
      </w:r>
    </w:p>
    <w:p w14:paraId="10C7660D">
      <w:pPr>
        <w:bidi w:val="0"/>
        <w:rPr>
          <w:rFonts w:hint="eastAsia"/>
        </w:rPr>
      </w:pPr>
      <w:r>
        <w:rPr>
          <w:rFonts w:hint="eastAsia"/>
        </w:rPr>
        <w:t>RO1: To systematically evaluate and quantitatively synthesise the effects of structured exercise interventions on trait social physique anxiety (SPA) in females.</w:t>
      </w:r>
    </w:p>
    <w:p w14:paraId="00E05ADF">
      <w:pPr>
        <w:bidi w:val="0"/>
        <w:rPr>
          <w:rFonts w:hint="eastAsia"/>
        </w:rPr>
      </w:pPr>
      <w:r>
        <w:rPr>
          <w:rFonts w:hint="eastAsia"/>
        </w:rPr>
        <w:t>RO2: To explore potential modifiers of the effects of structured exercise in</w:t>
      </w:r>
      <w:bookmarkStart w:id="0" w:name="_GoBack"/>
      <w:bookmarkEnd w:id="0"/>
      <w:r>
        <w:rPr>
          <w:rFonts w:hint="eastAsia"/>
        </w:rPr>
        <w:t>terventions on trait SPA</w:t>
      </w:r>
      <w:r>
        <w:rPr>
          <w:rFonts w:hint="default"/>
          <w:lang w:val="en-US"/>
        </w:rPr>
        <w:t>.</w:t>
      </w:r>
      <w:r>
        <w:rPr>
          <w:rFonts w:hint="eastAsia"/>
        </w:rPr>
        <w:t xml:space="preserve"> </w:t>
      </w:r>
    </w:p>
    <w:p w14:paraId="79968628">
      <w:pPr>
        <w:pStyle w:val="3"/>
      </w:pPr>
      <w:r>
        <w:t>Proposed Meta-analysis Approach</w:t>
      </w:r>
    </w:p>
    <w:p w14:paraId="38F20021">
      <w:pPr>
        <w:ind w:firstLine="480" w:firstLineChars="200"/>
      </w:pPr>
      <w:r>
        <w:t>A PRISMA 2020-guided review will search MEDLINE, Web of Science, Scopus, PsycINFO, SPORTDiscus and Google Scholar, with backward and forward citation tracking. Eligible studies will include female participants of any age (or extractable female subgroups), controlled randomised or non-randomised exercise interventions lasting ≥2 weeks, and validated trait-SPA outcomes. The primary comparison will be exercise versus no intervention, wait-list, usual activity or non-exercise attention control. Active exercise comparators, acute state-SPA experiments and unequal psychological/educational co-interventions will be analysed separately or narratively. Two reviewers will screen, extract data and assess risk of bias (RoB 2 or ROBINS-I). Hedges’ g will be pooled using random-effects models; negative values will indicate lower SPA. Heterogeneity (τ² and I²), sensitivity analyses and restricted subgroup analyses will be reported. Publication-bias analyses will be undertaken only when at least ten independent studies are available.</w:t>
      </w:r>
    </w:p>
    <w:p w14:paraId="5A9822BA">
      <w:pPr>
        <w:pStyle w:val="3"/>
      </w:pPr>
      <w:r>
        <w:t>Expected Research Value</w:t>
      </w:r>
    </w:p>
    <w:p w14:paraId="18ADF104">
      <w:pPr>
        <w:ind w:firstLine="480" w:firstLineChars="200"/>
      </w:pPr>
      <w:r>
        <w:t>This review will provide focused evidence on whether exercise reduces SPA, while avoiding the inappropriate pooling of SPA with broader body-image outcomes. It can identify promising exercise contexts, clarify the limitations of the current evidence base, and inform psychologically safer exercise and health-promotion programmes for girls and women.</w:t>
      </w:r>
    </w:p>
    <w:p w14:paraId="172E04B2"/>
    <w:sectPr>
      <w:footerReference r:id="rId5" w:type="default"/>
      <w:pgSz w:w="11906" w:h="16838"/>
      <w:pgMar w:top="1020" w:right="1020" w:bottom="1020" w:left="1020" w:header="454" w:footer="45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BECB95">
    <w:pPr>
      <w:pStyle w:val="24"/>
      <w:jc w:val="center"/>
    </w:pPr>
    <w:r>
      <w:t xml:space="preserve">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FFBB846"/>
    <w:rsid w:val="8EB77EF3"/>
    <w:rsid w:val="B9B7BBF4"/>
    <w:rsid w:val="DFFB7EE3"/>
    <w:rsid w:val="EF1F8A7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276" w:lineRule="auto"/>
    </w:pPr>
    <w:rPr>
      <w:rFonts w:ascii="Times New Roman" w:hAnsi="Times New Roman" w:eastAsia="Times New Roman" w:cs="Times New Roman"/>
      <w:sz w:val="24"/>
      <w:szCs w:val="22"/>
      <w:lang w:val="en-US" w:eastAsia="en-US" w:bidi="ar-SA"/>
    </w:rPr>
  </w:style>
  <w:style w:type="paragraph" w:styleId="3">
    <w:name w:val="heading 1"/>
    <w:basedOn w:val="1"/>
    <w:next w:val="1"/>
    <w:link w:val="138"/>
    <w:qFormat/>
    <w:uiPriority w:val="9"/>
    <w:pPr>
      <w:keepNext/>
      <w:keepLines/>
      <w:spacing w:before="100" w:after="20" w:line="276" w:lineRule="auto"/>
      <w:outlineLvl w:val="0"/>
    </w:pPr>
    <w:rPr>
      <w:rFonts w:ascii="Times New Roman" w:hAnsi="Times New Roman" w:eastAsia="Times New Roman" w:cs="Times New Roman"/>
      <w:b/>
      <w:bCs/>
      <w:color w:val="000000"/>
      <w:sz w:val="24"/>
      <w:szCs w:val="28"/>
    </w:rPr>
  </w:style>
  <w:style w:type="paragraph" w:styleId="4">
    <w:name w:val="heading 2"/>
    <w:basedOn w:val="1"/>
    <w:next w:val="1"/>
    <w:link w:val="139"/>
    <w:unhideWhenUsed/>
    <w:qFormat/>
    <w:uiPriority w:val="9"/>
    <w:pPr>
      <w:keepNext/>
      <w:keepLines/>
      <w:spacing w:before="60" w:after="20" w:line="276" w:lineRule="auto"/>
      <w:outlineLvl w:val="1"/>
    </w:pPr>
    <w:rPr>
      <w:rFonts w:ascii="Times New Roman" w:hAnsi="Times New Roman" w:eastAsia="Times New Roman" w:cs="Times New Roman"/>
      <w:b/>
      <w:bCs/>
      <w:color w:val="000000"/>
      <w:sz w:val="24"/>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before="0" w:after="100" w:line="276" w:lineRule="auto"/>
      <w:contextualSpacing/>
    </w:pPr>
    <w:rPr>
      <w:rFonts w:ascii="Times New Roman" w:hAnsi="Times New Roman" w:eastAsia="Times New Roman" w:cs="Times New Roman"/>
      <w:b/>
      <w:color w:val="000000"/>
      <w:spacing w:val="5"/>
      <w:kern w:val="28"/>
      <w:sz w:val="28"/>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Codex</dc:creator>
  <dc:description>generated by python-docx</dc:description>
  <cp:lastModifiedBy> 南汐寒笙.</cp:lastModifiedBy>
  <dcterms:modified xsi:type="dcterms:W3CDTF">2026-08-21T11:49:25Z</dcterms:modified>
  <dc:subject>One-page research proposal and feasibility check</dc:subject>
  <dc:title>Effects of Structured Exercise Interventions on Trait Social Physique Anxiety in Girls and Women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972454D942577159C5CA876A0263B948_43</vt:lpwstr>
  </property>
</Properties>
</file>