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9CCF46">
      <w:pPr>
        <w:spacing w:before="200" w:after="80"/>
      </w:pPr>
      <w:r>
        <w:rPr>
          <w:rFonts w:ascii="Calibri" w:hAnsi="Calibri" w:eastAsia="微软雅黑"/>
          <w:b/>
          <w:color w:val="202020"/>
          <w:sz w:val="38"/>
        </w:rPr>
        <w:t>青少年智能手机数字表型识别抑郁与自杀风险</w:t>
      </w:r>
    </w:p>
    <w:p w14:paraId="50B4584C">
      <w:pPr>
        <w:pStyle w:val="3"/>
      </w:pPr>
      <w:r>
        <w:rPr>
          <w:rFonts w:ascii="Calibri" w:hAnsi="Calibri" w:eastAsia="微软雅黑"/>
          <w:b/>
          <w:color w:val="202020"/>
          <w:sz w:val="30"/>
        </w:rPr>
        <w:t>总体意见</w:t>
      </w:r>
    </w:p>
    <w:p w14:paraId="595EA493">
      <w:pPr>
        <w:spacing w:after="100" w:line="269" w:lineRule="auto"/>
      </w:pPr>
      <w:r>
        <w:rPr>
          <w:rFonts w:ascii="Calibri" w:hAnsi="Calibri" w:eastAsia="宋体"/>
          <w:b w:val="0"/>
          <w:color w:val="202020"/>
          <w:sz w:val="21"/>
        </w:rPr>
        <w:t>“青少年智能手机数字表型识别抑郁与自杀风险的诊断与预测性能”这一主题已经比较清晰。后续修改应围绕这一主题展开：Introduction需要讲清楚研究缺口、创新点和综述目标；Methods则要完整说明诊断与预测研究如何纳入、提取、评价和合成。</w:t>
      </w:r>
    </w:p>
    <w:p w14:paraId="4294DD33">
      <w:pPr>
        <w:pStyle w:val="3"/>
      </w:pPr>
      <w:r>
        <w:rPr>
          <w:rFonts w:ascii="Calibri" w:hAnsi="Calibri" w:eastAsia="微软雅黑"/>
          <w:b/>
          <w:color w:val="202020"/>
          <w:sz w:val="30"/>
        </w:rPr>
        <w:t>1. Introduction围绕主题收紧</w:t>
      </w:r>
    </w:p>
    <w:p w14:paraId="1E784BC7">
      <w:pPr>
        <w:spacing w:after="100" w:line="269" w:lineRule="auto"/>
      </w:pPr>
      <w:r>
        <w:rPr>
          <w:rFonts w:ascii="Calibri" w:hAnsi="Calibri" w:eastAsia="宋体"/>
          <w:b w:val="0"/>
          <w:color w:val="202020"/>
          <w:sz w:val="21"/>
        </w:rPr>
        <w:t>Introduction建议按“临床问题—智能手机数字表型的潜在价值—已有综述—尚未解决的问题—本综述目标”展开。重点是诊断与预测性能，不再泛化到所有数字表型应用或广义心理健康。</w:t>
      </w:r>
    </w:p>
    <w:p w14:paraId="5F547D7E">
      <w:pPr>
        <w:pStyle w:val="4"/>
      </w:pPr>
      <w:r>
        <w:rPr>
          <w:rFonts w:ascii="Calibri" w:hAnsi="Calibri" w:eastAsia="微软雅黑"/>
          <w:b/>
          <w:color w:val="202020"/>
          <w:sz w:val="24"/>
        </w:rPr>
        <w:t>研究缺口</w:t>
      </w:r>
    </w:p>
    <w:p w14:paraId="10379CA8">
      <w:pPr>
        <w:spacing w:after="100" w:line="269" w:lineRule="auto"/>
      </w:pPr>
      <w:r>
        <w:rPr>
          <w:rFonts w:ascii="Calibri" w:hAnsi="Calibri" w:eastAsia="宋体"/>
          <w:b w:val="0"/>
          <w:color w:val="202020"/>
          <w:sz w:val="21"/>
        </w:rPr>
        <w:t>需要结合最相关综述的真实内容，说明既往证据是否已经同时覆盖青少年、智能手机被动数字表型、抑郁与自杀风险，以及诊断和预测性能。研究缺口必须由文献支持，不要先写“首次”或“尚无综述”；如果实际属于证据更新、范围细化或方法学改进，应准确表述。</w:t>
      </w:r>
    </w:p>
    <w:p w14:paraId="41880FF8">
      <w:pPr>
        <w:pStyle w:val="4"/>
      </w:pPr>
      <w:r>
        <w:rPr>
          <w:rFonts w:ascii="Calibri" w:hAnsi="Calibri" w:eastAsia="微软雅黑"/>
          <w:b/>
          <w:color w:val="202020"/>
          <w:sz w:val="24"/>
        </w:rPr>
        <w:t>创新点</w:t>
      </w:r>
    </w:p>
    <w:p w14:paraId="105A1884">
      <w:pPr>
        <w:spacing w:after="100" w:line="269" w:lineRule="auto"/>
      </w:pPr>
      <w:r>
        <w:rPr>
          <w:rFonts w:ascii="Calibri" w:hAnsi="Calibri" w:eastAsia="宋体"/>
          <w:b w:val="0"/>
          <w:color w:val="202020"/>
          <w:sz w:val="21"/>
        </w:rPr>
        <w:t>创新点要与主题直接对应，并能在Methods中落实，例如分别评价诊断与预测性能、区分模型开发与外部验证，以及分别处理抑郁和自杀相关结局。是否确实构成创新，仍需以真实文献和检索结果为依据。</w:t>
      </w:r>
    </w:p>
    <w:p w14:paraId="3487246E">
      <w:pPr>
        <w:pStyle w:val="4"/>
      </w:pPr>
      <w:r>
        <w:rPr>
          <w:rFonts w:ascii="Calibri" w:hAnsi="Calibri" w:eastAsia="微软雅黑"/>
          <w:b/>
          <w:color w:val="202020"/>
          <w:sz w:val="24"/>
        </w:rPr>
        <w:t>为什么同时纳入抑郁和自杀/自伤</w:t>
      </w:r>
    </w:p>
    <w:p w14:paraId="4569B218">
      <w:pPr>
        <w:spacing w:after="100" w:line="269" w:lineRule="auto"/>
      </w:pPr>
      <w:r>
        <w:rPr>
          <w:rFonts w:ascii="Calibri" w:hAnsi="Calibri" w:eastAsia="宋体"/>
          <w:b w:val="0"/>
          <w:color w:val="202020"/>
          <w:sz w:val="21"/>
        </w:rPr>
        <w:t>需要用文献说明两类结局放在同一篇综述中的理论或临床联系，以及联合考察比单独研究其中一种结局增加了什么价值。同时也要说明为什么不扩展到焦虑、双相障碍等其他结局。即使共同纳入，抑郁诊断、抑郁症状、自杀意念/计划、自杀企图/死亡、自伤和NSSI仍应分别定义和分析。</w:t>
      </w:r>
    </w:p>
    <w:p w14:paraId="2082FEBB">
      <w:pPr>
        <w:pStyle w:val="4"/>
      </w:pPr>
      <w:r>
        <w:rPr>
          <w:rFonts w:ascii="Calibri" w:hAnsi="Calibri" w:eastAsia="微软雅黑"/>
          <w:b/>
          <w:color w:val="202020"/>
          <w:sz w:val="24"/>
        </w:rPr>
        <w:t>Review objective</w:t>
      </w:r>
    </w:p>
    <w:p w14:paraId="6BCC8B77">
      <w:pPr>
        <w:spacing w:after="100" w:line="269" w:lineRule="auto"/>
      </w:pPr>
      <w:r>
        <w:rPr>
          <w:rFonts w:ascii="Calibri" w:hAnsi="Calibri" w:eastAsia="宋体"/>
          <w:b w:val="0"/>
          <w:color w:val="202020"/>
          <w:sz w:val="21"/>
        </w:rPr>
        <w:t>目标可聚焦为：系统评价智能手机被动数字表型在青少年中识别抑郁及自杀相关风险的诊断与预测性能。需要进一步定义青少年年龄范围、smartphone-based passive digital phenotyping的边界、抑郁和自杀相关结局，以及“诊断”和“预测”各自对应的研究设计和时间关系。</w:t>
      </w:r>
    </w:p>
    <w:p w14:paraId="1751BC37">
      <w:pPr>
        <w:pStyle w:val="3"/>
      </w:pPr>
      <w:r>
        <w:rPr>
          <w:rFonts w:ascii="Calibri" w:hAnsi="Calibri" w:eastAsia="微软雅黑"/>
          <w:b/>
          <w:color w:val="202020"/>
          <w:sz w:val="30"/>
        </w:rPr>
        <w:t>2. 问题框架和纳入标准</w:t>
      </w:r>
    </w:p>
    <w:p w14:paraId="1677D733">
      <w:pPr>
        <w:spacing w:after="100" w:line="269" w:lineRule="auto"/>
      </w:pPr>
      <w:r>
        <w:rPr>
          <w:rFonts w:ascii="Calibri" w:hAnsi="Calibri" w:eastAsia="宋体"/>
          <w:b w:val="0"/>
          <w:color w:val="202020"/>
          <w:sz w:val="21"/>
        </w:rPr>
        <w:t>PIRD适用于诊断试验准确性问题，其中P=Population，I=Index test，R=Reference standard，D=Target condition/Diagnosis，需要引用JBI或Cochrane相关方法。如果主要纳入机器学习预测模型或未来风险预测，仅用PIRD不够，应增加CHARMS/PICOTS相关要素，并说明模型开发、内部验证和外部验证如何区分。</w:t>
      </w:r>
    </w:p>
    <w:p w14:paraId="0C6BF846">
      <w:pPr>
        <w:spacing w:after="100" w:line="269" w:lineRule="auto"/>
      </w:pPr>
      <w:r>
        <w:rPr>
          <w:rFonts w:ascii="Calibri" w:hAnsi="Calibri" w:eastAsia="宋体"/>
          <w:b w:val="0"/>
          <w:color w:val="202020"/>
          <w:sz w:val="21"/>
        </w:rPr>
        <w:t>纳入标准需要明确：青少年年龄范围及混合年龄样本的处理；被动智能手机数据的类型；手机与可穿戴设备联合采集研究是否纳入；抑郁和自杀相关结局的合格测量；同期诊断、未来预测、模型开发和验证研究分别如何界定。仅报告数字特征与症状相关性的研究是否纳入，也要提前决定。</w:t>
      </w:r>
    </w:p>
    <w:p w14:paraId="12E6A2DA">
      <w:pPr>
        <w:pStyle w:val="3"/>
      </w:pPr>
      <w:r>
        <w:rPr>
          <w:rFonts w:ascii="Calibri" w:hAnsi="Calibri" w:eastAsia="微软雅黑"/>
          <w:b/>
          <w:color w:val="202020"/>
          <w:sz w:val="30"/>
        </w:rPr>
        <w:t>3. 检索策略和数据库</w:t>
      </w:r>
    </w:p>
    <w:p w14:paraId="759ACF23">
      <w:pPr>
        <w:spacing w:after="100" w:line="269" w:lineRule="auto"/>
      </w:pPr>
      <w:r>
        <w:rPr>
          <w:rFonts w:ascii="Calibri" w:hAnsi="Calibri" w:eastAsia="宋体"/>
          <w:b w:val="0"/>
          <w:color w:val="202020"/>
          <w:sz w:val="21"/>
        </w:rPr>
        <w:t>检索词需要参考最相关数字表型综述的完整检索式和补充材料，覆盖主题词、自由词、旧术语以及设备或数据来源术语，并注明检索词来源。这里应在方案中呈现可重复的数据库检索方法，而不是仅列出若干示例词。</w:t>
      </w:r>
    </w:p>
    <w:p w14:paraId="704B9E36">
      <w:pPr>
        <w:spacing w:after="100" w:line="269" w:lineRule="auto"/>
      </w:pPr>
      <w:r>
        <w:rPr>
          <w:rFonts w:ascii="Calibri" w:hAnsi="Calibri" w:eastAsia="宋体"/>
          <w:b w:val="0"/>
          <w:color w:val="202020"/>
          <w:sz w:val="21"/>
        </w:rPr>
        <w:t>核心数据库建议包括MEDLINE/PubMed、Embase、APA PsycINFO、Scopus和Web of Science Core Collection。IEEE Xplore可补充工程及会议文献；ACM Digital Library可作为计算机/HCI补充库。正文与PRISMA流程中的数据库列表要一致，并按PRISMA-S记录平台、日期、完整检索式、限制条件和命中数。</w:t>
      </w:r>
    </w:p>
    <w:p w14:paraId="251B41F7">
      <w:pPr>
        <w:spacing w:after="100" w:line="269" w:lineRule="auto"/>
      </w:pPr>
      <w:r>
        <w:rPr>
          <w:rFonts w:ascii="Calibri" w:hAnsi="Calibri" w:eastAsia="宋体"/>
          <w:b w:val="0"/>
          <w:color w:val="202020"/>
          <w:sz w:val="21"/>
        </w:rPr>
        <w:t>不建议用宽泛的NOT直接排除questionnaire、EMA、wearable或Fitbit，以免误删同时包含被动传感和有效参照测量的研究。EMA/ESM若作为结局或参照测量，也不应机械排除。</w:t>
      </w:r>
    </w:p>
    <w:p w14:paraId="296E3DDA">
      <w:pPr>
        <w:pStyle w:val="3"/>
      </w:pPr>
      <w:r>
        <w:rPr>
          <w:rFonts w:ascii="Calibri" w:hAnsi="Calibri" w:eastAsia="微软雅黑"/>
          <w:b/>
          <w:color w:val="202020"/>
          <w:sz w:val="30"/>
        </w:rPr>
        <w:t>4. 研究筛选与数据提取</w:t>
      </w:r>
    </w:p>
    <w:p w14:paraId="4AE9D086">
      <w:pPr>
        <w:spacing w:after="100" w:line="269" w:lineRule="auto"/>
      </w:pPr>
      <w:r>
        <w:rPr>
          <w:rFonts w:ascii="Calibri" w:hAnsi="Calibri" w:eastAsia="宋体"/>
          <w:b w:val="0"/>
          <w:color w:val="202020"/>
          <w:sz w:val="21"/>
        </w:rPr>
        <w:t>Methods目前需要补充研究筛选过程。建议说明去重后由两名研究者独立进行题名摘要和全文筛选，分歧如何解决，以及全文排除理由如何记录。正式筛选前可进行小规模试筛，以统一诊断、预测和单纯相关性研究的判断标准。</w:t>
      </w:r>
    </w:p>
    <w:p w14:paraId="74D5C8E8">
      <w:pPr>
        <w:spacing w:after="100" w:line="269" w:lineRule="auto"/>
      </w:pPr>
      <w:r>
        <w:rPr>
          <w:rFonts w:ascii="Calibri" w:hAnsi="Calibri" w:eastAsia="宋体"/>
          <w:b w:val="0"/>
          <w:color w:val="202020"/>
          <w:sz w:val="21"/>
        </w:rPr>
        <w:t>数据提取部分至少应包括以下内容：</w:t>
      </w:r>
    </w:p>
    <w:p w14:paraId="7EA945C0">
      <w:pPr>
        <w:pStyle w:val="16"/>
        <w:spacing w:after="60" w:line="259" w:lineRule="auto"/>
      </w:pPr>
      <w:r>
        <w:rPr>
          <w:rFonts w:ascii="Calibri" w:hAnsi="Calibri" w:eastAsia="宋体"/>
          <w:b w:val="0"/>
          <w:color w:val="202020"/>
          <w:sz w:val="20"/>
        </w:rPr>
        <w:t>研究基本信息：作者、年份、国家、研究场景、研究设计、招募方式和样本量。</w:t>
      </w:r>
    </w:p>
    <w:p w14:paraId="3CEDCF5D">
      <w:pPr>
        <w:pStyle w:val="16"/>
        <w:spacing w:after="60" w:line="259" w:lineRule="auto"/>
      </w:pPr>
      <w:r>
        <w:rPr>
          <w:rFonts w:ascii="Calibri" w:hAnsi="Calibri" w:eastAsia="宋体"/>
          <w:b w:val="0"/>
          <w:color w:val="202020"/>
          <w:sz w:val="20"/>
        </w:rPr>
        <w:t>人群特征：年龄、性别、临床或社区样本、抑郁或自杀风险基线特征，以及纳入排除标准。</w:t>
      </w:r>
    </w:p>
    <w:p w14:paraId="19E1567E">
      <w:pPr>
        <w:pStyle w:val="16"/>
        <w:spacing w:after="60" w:line="259" w:lineRule="auto"/>
      </w:pPr>
      <w:r>
        <w:rPr>
          <w:rFonts w:ascii="Calibri" w:hAnsi="Calibri" w:eastAsia="宋体"/>
          <w:b w:val="0"/>
          <w:color w:val="202020"/>
          <w:sz w:val="20"/>
        </w:rPr>
        <w:t>数字表型：手机操作系统、传感器或日志类型、数据采集频率与持续时间、特征构建方法、缺失数据和依从性。</w:t>
      </w:r>
    </w:p>
    <w:p w14:paraId="43A3CD69">
      <w:pPr>
        <w:pStyle w:val="16"/>
        <w:spacing w:after="60" w:line="259" w:lineRule="auto"/>
      </w:pPr>
      <w:r>
        <w:rPr>
          <w:rFonts w:ascii="Calibri" w:hAnsi="Calibri" w:eastAsia="宋体"/>
          <w:b w:val="0"/>
          <w:color w:val="202020"/>
          <w:sz w:val="20"/>
        </w:rPr>
        <w:t>结局与参照标准：抑郁诊断或症状量表、自杀意念/计划/企图等结局、测量工具、阈值、测量时间及预测时距。</w:t>
      </w:r>
    </w:p>
    <w:p w14:paraId="04DEC6A3">
      <w:pPr>
        <w:pStyle w:val="16"/>
        <w:spacing w:after="60" w:line="259" w:lineRule="auto"/>
      </w:pPr>
      <w:r>
        <w:rPr>
          <w:rFonts w:ascii="Calibri" w:hAnsi="Calibri" w:eastAsia="宋体"/>
          <w:b w:val="0"/>
          <w:color w:val="202020"/>
          <w:sz w:val="20"/>
        </w:rPr>
        <w:t>模型信息：算法、候选特征、特征选择、样本划分、内部或外部验证、过拟合处理及模型更新。</w:t>
      </w:r>
    </w:p>
    <w:p w14:paraId="3AAE3FED">
      <w:pPr>
        <w:pStyle w:val="16"/>
        <w:spacing w:after="60" w:line="259" w:lineRule="auto"/>
      </w:pPr>
      <w:r>
        <w:rPr>
          <w:rFonts w:ascii="Calibri" w:hAnsi="Calibri" w:eastAsia="宋体"/>
          <w:b w:val="0"/>
          <w:color w:val="202020"/>
          <w:sz w:val="20"/>
        </w:rPr>
        <w:t>性能指标：敏感度、特异度、AUC、阳性/阴性预测值、准确率、F1、校准、Brier score及其置信区间；同时记录指标对应的阈值和验证数据集。</w:t>
      </w:r>
    </w:p>
    <w:p w14:paraId="6CC4EAB3">
      <w:pPr>
        <w:pStyle w:val="3"/>
      </w:pPr>
      <w:r>
        <w:rPr>
          <w:rFonts w:ascii="Calibri" w:hAnsi="Calibri" w:eastAsia="微软雅黑"/>
          <w:b/>
          <w:color w:val="202020"/>
          <w:sz w:val="30"/>
        </w:rPr>
        <w:t>5. 偏倚风险评价</w:t>
      </w:r>
    </w:p>
    <w:p w14:paraId="0C95AEA9">
      <w:pPr>
        <w:spacing w:after="100" w:line="269" w:lineRule="auto"/>
      </w:pPr>
      <w:r>
        <w:rPr>
          <w:rFonts w:ascii="Calibri" w:hAnsi="Calibri" w:eastAsia="宋体"/>
          <w:b w:val="0"/>
          <w:color w:val="202020"/>
          <w:sz w:val="21"/>
        </w:rPr>
        <w:t>诊断准确性研究可使用QUADAS-2；预测模型研究可使用PROBAST或PROBAST+AI。若同时纳入单纯相关性研究，需要另行指定适合的评价工具，不能用同一工具覆盖所有研究设计。建议由两名研究者独立评价，并说明分歧处理方式。</w:t>
      </w:r>
    </w:p>
    <w:p w14:paraId="688B4A00">
      <w:pPr>
        <w:pStyle w:val="3"/>
      </w:pPr>
      <w:r>
        <w:rPr>
          <w:rFonts w:ascii="Calibri" w:hAnsi="Calibri" w:eastAsia="微软雅黑"/>
          <w:b/>
          <w:color w:val="202020"/>
          <w:sz w:val="30"/>
        </w:rPr>
        <w:t>6. 结局和证据合成</w:t>
      </w:r>
    </w:p>
    <w:p w14:paraId="4FEE8F33">
      <w:pPr>
        <w:spacing w:after="100" w:line="269" w:lineRule="auto"/>
      </w:pPr>
      <w:r>
        <w:rPr>
          <w:rFonts w:ascii="Calibri" w:hAnsi="Calibri" w:eastAsia="宋体"/>
          <w:b w:val="0"/>
          <w:color w:val="202020"/>
          <w:sz w:val="21"/>
        </w:rPr>
        <w:t>抑郁结局需区分临床诊断、筛查阈值、连续症状严重度和症状变化；自杀/自伤结局需区分自杀意念、计划、企图、死亡、自伤和NSSI。还要预先定义传感窗口、参照测量时间、预测时距和随访长度，并将同期分类与未来预测分开。</w:t>
      </w:r>
    </w:p>
    <w:p w14:paraId="09BDB031">
      <w:pPr>
        <w:spacing w:after="100" w:line="269" w:lineRule="auto"/>
      </w:pPr>
      <w:r>
        <w:rPr>
          <w:rFonts w:ascii="Calibri" w:hAnsi="Calibri" w:eastAsia="宋体"/>
          <w:b w:val="0"/>
          <w:color w:val="202020"/>
          <w:sz w:val="21"/>
        </w:rPr>
        <w:t>诊断准确性研究在能够重建2×2表且阈值可比时，可采用双变量随机效应模型或HSROC，并使用QUADAS-2。预测模型研究建议用CHARMS提取模型开发和验证信息，使用PROBAST或PROBAST+AI评价偏倚；开发集表观性能不能与外部验证性能直接合并。</w:t>
      </w:r>
    </w:p>
    <w:p w14:paraId="35EC4D83">
      <w:pPr>
        <w:spacing w:after="100" w:line="269" w:lineRule="auto"/>
      </w:pPr>
      <w:r>
        <w:rPr>
          <w:rFonts w:ascii="Calibri" w:hAnsi="Calibri" w:eastAsia="宋体"/>
          <w:b w:val="0"/>
          <w:color w:val="202020"/>
          <w:sz w:val="21"/>
        </w:rPr>
        <w:t>AUC、accuracy、F1、相关系数和敏感度/特异度不能视为可互换效应量。除辨别度外，还应提取校准、Brier score、阈值、缺失数据处理、类别不平衡、样本量/事件数和验证方式。无法统计合并时，可按SWiM组织定量叙述性合成；SWiM不能替代PRISMA 2020。</w:t>
      </w:r>
    </w:p>
    <w:p w14:paraId="599B2C2C">
      <w:pPr>
        <w:spacing w:after="100" w:line="269" w:lineRule="auto"/>
      </w:pPr>
      <w:r>
        <w:rPr>
          <w:rFonts w:ascii="Calibri" w:hAnsi="Calibri" w:eastAsia="宋体"/>
          <w:b w:val="0"/>
          <w:color w:val="202020"/>
          <w:sz w:val="21"/>
        </w:rPr>
        <w:t>诊断与预测研究应分别合成；抑郁与自杀相关结局也应分别报告。还应预先考虑按人群来源、年龄、数据类型、预测时距和验证类型进行亚组或敏感性分析。只有结局定义、阈值和性能指标足够一致时才进行Meta分析，并说明异质性评价方法。</w:t>
      </w:r>
    </w:p>
    <w:p w14:paraId="33633EF7">
      <w:pPr>
        <w:pStyle w:val="3"/>
      </w:pPr>
      <w:r>
        <w:rPr>
          <w:rFonts w:ascii="Calibri" w:hAnsi="Calibri" w:eastAsia="微软雅黑"/>
          <w:b/>
          <w:color w:val="202020"/>
          <w:sz w:val="30"/>
        </w:rPr>
        <w:t>7. 还需要补充的protocol内容</w:t>
      </w:r>
    </w:p>
    <w:p w14:paraId="6CAE7DC5">
      <w:pPr>
        <w:spacing w:after="100" w:line="269" w:lineRule="auto"/>
      </w:pPr>
      <w:r>
        <w:rPr>
          <w:rFonts w:ascii="Calibri" w:hAnsi="Calibri" w:eastAsia="宋体"/>
          <w:b w:val="0"/>
          <w:color w:val="202020"/>
          <w:sz w:val="21"/>
        </w:rPr>
        <w:t>完整protocol还应说明方案注册、报告规范、文献管理与去重、双人筛选和提取、缺失信息联系作者、亚组或敏感性分析、发表偏倚或小样本效应的处理，以及方案偏离如何记录。具体内容应根据最终纳入的研究类型确定，避免只写通用模板句。</w:t>
      </w:r>
    </w:p>
    <w:p w14:paraId="10D0070D">
      <w:pPr>
        <w:pStyle w:val="3"/>
      </w:pPr>
      <w:r>
        <w:rPr>
          <w:rFonts w:ascii="Calibri" w:hAnsi="Calibri" w:eastAsia="微软雅黑"/>
          <w:b/>
          <w:color w:val="202020"/>
          <w:sz w:val="30"/>
        </w:rPr>
        <w:t>8</w:t>
      </w:r>
      <w:bookmarkStart w:id="0" w:name="_GoBack"/>
      <w:r>
        <w:rPr>
          <w:rFonts w:ascii="Calibri" w:hAnsi="Calibri" w:eastAsia="微软雅黑"/>
          <w:b/>
          <w:color w:val="202020"/>
          <w:sz w:val="30"/>
        </w:rPr>
        <w:t>. 建议优先参考的相关综述</w:t>
      </w:r>
    </w:p>
    <w:p w14:paraId="12DCAD86">
      <w:pPr>
        <w:spacing w:after="100" w:line="269" w:lineRule="auto"/>
      </w:pPr>
      <w:r>
        <w:rPr>
          <w:rFonts w:ascii="Calibri" w:hAnsi="Calibri" w:eastAsia="宋体"/>
          <w:b w:val="0"/>
          <w:color w:val="202020"/>
          <w:sz w:val="21"/>
        </w:rPr>
        <w:t>下面几篇与本主题最接近。建议先阅读正文及补充材料，并据此修改Introduction、检索策略、纳入标准和数据提取，而不是只在参考文献中简单引用。</w:t>
      </w:r>
    </w:p>
    <w:bookmarkEnd w:id="0"/>
    <w:p w14:paraId="44191CA9">
      <w:pPr>
        <w:pStyle w:val="4"/>
      </w:pPr>
      <w:r>
        <w:rPr>
          <w:rFonts w:ascii="Calibri" w:hAnsi="Calibri" w:eastAsia="微软雅黑"/>
          <w:b/>
          <w:color w:val="202020"/>
          <w:sz w:val="24"/>
        </w:rPr>
        <w:t>青少年与智能手机范围</w:t>
      </w:r>
    </w:p>
    <w:p w14:paraId="498C318A">
      <w:pPr>
        <w:pStyle w:val="16"/>
        <w:spacing w:after="40" w:line="245" w:lineRule="auto"/>
      </w:pPr>
      <w:r>
        <w:rPr>
          <w:rFonts w:ascii="Calibri" w:hAnsi="Calibri" w:eastAsia="宋体"/>
          <w:b w:val="0"/>
          <w:color w:val="202020"/>
          <w:sz w:val="18"/>
        </w:rPr>
        <w:t>Leijse MML, Hansen A, Semeijn IK, et al. A multilevel meta-analysis of passive smartphone sensing of adolescent mental health. npj Digital Medicine. 2026;9:628. doi:10.1038/s41746-026-02706-2。与本研究在人群和智能手机被动感知范围上最接近，应重点用于判断研究重叠及真正的新增问题。该文主要合成相关性，不能直接替代诊断或预测性能综述。</w:t>
      </w:r>
    </w:p>
    <w:p w14:paraId="1D067B4D">
      <w:pPr>
        <w:pStyle w:val="16"/>
        <w:spacing w:after="40" w:line="245" w:lineRule="auto"/>
      </w:pPr>
      <w:r>
        <w:rPr>
          <w:rFonts w:ascii="Calibri" w:hAnsi="Calibri" w:eastAsia="宋体"/>
          <w:b w:val="0"/>
          <w:color w:val="202020"/>
          <w:sz w:val="18"/>
        </w:rPr>
        <w:t>Beames JR, Han J, Shvetcov A, et al. Use of smartphone sensor data in detecting and predicting depression and anxiety in young people (12–25 years): a scoping review. Heliyon. 2024;10(15):e35472. doi:10.1016/j.heliyon.2024.e35472。可重点参考其青年年龄范围、手机传感器定义、检索词、数据库、纳入标准和数字表型数据提取项目。</w:t>
      </w:r>
    </w:p>
    <w:p w14:paraId="01860C06">
      <w:pPr>
        <w:pStyle w:val="4"/>
      </w:pPr>
      <w:r>
        <w:rPr>
          <w:rFonts w:ascii="Calibri" w:hAnsi="Calibri" w:eastAsia="微软雅黑"/>
          <w:b/>
          <w:color w:val="202020"/>
          <w:sz w:val="24"/>
        </w:rPr>
        <w:t>抑郁诊断与预测</w:t>
      </w:r>
    </w:p>
    <w:p w14:paraId="14A43B85">
      <w:pPr>
        <w:pStyle w:val="16"/>
        <w:spacing w:after="40" w:line="245" w:lineRule="auto"/>
      </w:pPr>
      <w:r>
        <w:rPr>
          <w:rFonts w:ascii="Calibri" w:hAnsi="Calibri" w:eastAsia="宋体"/>
          <w:b w:val="0"/>
          <w:color w:val="202020"/>
          <w:sz w:val="18"/>
        </w:rPr>
        <w:t>Leaning I, Ikani N, Savage H, et al. From smartphone data to clinically relevant predictions: a systematic review of digital phenotyping methods in depression. Neuroscience &amp; Biobehavioral Reviews. 2024;158:105541. doi:10.1016/j.neubiorev.2024.105541。与抑郁预测性能最直接相关，可用于界定模型任务、验证方式和临床相关性能指标。</w:t>
      </w:r>
    </w:p>
    <w:p w14:paraId="2F518C78">
      <w:pPr>
        <w:pStyle w:val="16"/>
        <w:spacing w:after="40" w:line="245" w:lineRule="auto"/>
      </w:pPr>
      <w:r>
        <w:rPr>
          <w:rFonts w:ascii="Calibri" w:hAnsi="Calibri" w:eastAsia="宋体"/>
          <w:b w:val="0"/>
          <w:color w:val="202020"/>
          <w:sz w:val="18"/>
        </w:rPr>
        <w:t>De Angel V, Lewis S, White K, et al. Digital health tools for the passive monitoring of depression: a systematic review of methods. npj Digital Medicine. 2022;5:3. doi:10.1038/s41746-021-00548-8。可用于补充数字特征构建、数据缺失、采集时长、可重复性和方法学异质性等数据提取内容。</w:t>
      </w:r>
    </w:p>
    <w:p w14:paraId="5906BC3D">
      <w:pPr>
        <w:pStyle w:val="16"/>
        <w:spacing w:after="40" w:line="245" w:lineRule="auto"/>
      </w:pPr>
      <w:r>
        <w:rPr>
          <w:rFonts w:ascii="Calibri" w:hAnsi="Calibri" w:eastAsia="宋体"/>
          <w:b w:val="0"/>
          <w:color w:val="202020"/>
          <w:sz w:val="18"/>
        </w:rPr>
        <w:t>Vander Zwalmen Y, Maerevoet M, Coenen T, et al. Mobile technology for just-in-time prediction of depression: a scoping review. Nature Mental Health. 2026;4:851–869. doi:10.1038/s44220-026-00624-6。可用于明确即时预测、预测窗口和个体化模型，但其范围包含移动及可穿戴技术，需与本研究的smartphone-only边界区分。</w:t>
      </w:r>
    </w:p>
    <w:p w14:paraId="0823210E">
      <w:pPr>
        <w:pStyle w:val="4"/>
      </w:pPr>
      <w:r>
        <w:rPr>
          <w:rFonts w:ascii="Calibri" w:hAnsi="Calibri" w:eastAsia="微软雅黑"/>
          <w:b/>
          <w:color w:val="202020"/>
          <w:sz w:val="24"/>
        </w:rPr>
        <w:t>自杀风险预测</w:t>
      </w:r>
    </w:p>
    <w:p w14:paraId="04ED450C">
      <w:pPr>
        <w:pStyle w:val="16"/>
        <w:spacing w:after="40" w:line="245" w:lineRule="auto"/>
      </w:pPr>
      <w:r>
        <w:rPr>
          <w:rFonts w:ascii="Calibri" w:hAnsi="Calibri" w:eastAsia="宋体"/>
          <w:b w:val="0"/>
          <w:color w:val="202020"/>
          <w:sz w:val="18"/>
        </w:rPr>
        <w:t>Büscher R, Winkler T, Mocellin J, et al. A systematic review on passive sensing for the prediction of suicidal thoughts and behaviors. npj Mental Health Research. 2024;3:42. doi:10.1038/s44184-024-00089-4。与自杀风险预测最直接相关，应重点参考其自杀相关结局定义、预测研究纳入标准、数据提取、PROBAST评价和研究局限。其范围包括智能手机和可穿戴设备，且不限青少年，因此也需要明确本研究的新增范围。</w:t>
      </w:r>
    </w:p>
    <w:sectPr>
      <w:headerReference r:id="rId5" w:type="default"/>
      <w:footerReference r:id="rId6" w:type="default"/>
      <w:pgSz w:w="11909" w:h="16834"/>
      <w:pgMar w:top="1181" w:right="1296" w:bottom="1181" w:left="1296" w:header="504"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2C3D43">
    <w:pPr>
      <w:pStyle w:val="24"/>
      <w:jc w:val="center"/>
    </w:pPr>
    <w:r>
      <w:rPr>
        <w:rFonts w:ascii="Calibri" w:hAnsi="Calibri" w:eastAsia="微软雅黑"/>
        <w:b w:val="0"/>
        <w:color w:val="666666"/>
        <w:sz w:val="16"/>
      </w:rPr>
      <w:t>数字表型系统综述方案</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9FB7E">
    <w:pPr>
      <w:pStyle w:val="25"/>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674CA6"/>
    <w:rsid w:val="38DB01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69" w:lineRule="auto"/>
    </w:pPr>
    <w:rPr>
      <w:rFonts w:ascii="Calibri" w:hAnsi="Calibri" w:eastAsia="宋体" w:cstheme="minorBidi"/>
      <w:sz w:val="21"/>
      <w:szCs w:val="22"/>
      <w:lang w:val="en-US" w:eastAsia="en-US" w:bidi="ar-SA"/>
    </w:rPr>
  </w:style>
  <w:style w:type="paragraph" w:styleId="3">
    <w:name w:val="heading 1"/>
    <w:basedOn w:val="1"/>
    <w:next w:val="1"/>
    <w:link w:val="138"/>
    <w:qFormat/>
    <w:uiPriority w:val="9"/>
    <w:pPr>
      <w:keepNext/>
      <w:keepLines/>
      <w:spacing w:before="280" w:after="120"/>
      <w:outlineLvl w:val="0"/>
    </w:pPr>
    <w:rPr>
      <w:rFonts w:asciiTheme="majorHAnsi" w:hAnsiTheme="majorHAnsi" w:eastAsiaTheme="majorEastAsia" w:cstheme="majorBidi"/>
      <w:b/>
      <w:bCs/>
      <w:color w:val="202020"/>
      <w:sz w:val="30"/>
      <w:szCs w:val="28"/>
    </w:rPr>
  </w:style>
  <w:style w:type="paragraph" w:styleId="4">
    <w:name w:val="heading 2"/>
    <w:basedOn w:val="1"/>
    <w:next w:val="1"/>
    <w:link w:val="139"/>
    <w:unhideWhenUsed/>
    <w:qFormat/>
    <w:uiPriority w:val="9"/>
    <w:pPr>
      <w:keepNext/>
      <w:keepLines/>
      <w:spacing w:before="180" w:after="80"/>
      <w:outlineLvl w:val="1"/>
    </w:pPr>
    <w:rPr>
      <w:rFonts w:asciiTheme="majorHAnsi" w:hAnsiTheme="majorHAnsi" w:eastAsiaTheme="majorEastAsia" w:cstheme="majorBidi"/>
      <w:b/>
      <w:bCs/>
      <w:color w:val="20202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2842</Words>
  <Characters>4260</Characters>
  <Lines>0</Lines>
  <Paragraphs>0</Paragraphs>
  <TotalTime>0</TotalTime>
  <ScaleCrop>false</ScaleCrop>
  <LinksUpToDate>false</LinksUpToDate>
  <CharactersWithSpaces>4445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HN</dc:creator>
  <dc:description>generated by python-docx</dc:description>
  <cp:lastModifiedBy>寧NING</cp:lastModifiedBy>
  <dcterms:modified xsi:type="dcterms:W3CDTF">2026-08-31T13:53:53Z</dcterms:modified>
  <dc:title>青少年智能手机数字表型诊断与预测性能：protocol修改意见</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eyJoZGlkIjoiN2YzNjBkOTgyNWQ1YTMxYzM3MzMwNWFiODNmOWIzYWMiLCJ1c2VySWQiOiI0MzczMjk0ODcifQ==</vt:lpwstr>
  </property>
  <property fmtid="{D5CDD505-2E9C-101B-9397-08002B2CF9AE}" pid="3" name="KSOProductBuildVer">
    <vt:lpwstr>2052-12.1.0.28043</vt:lpwstr>
  </property>
  <property fmtid="{D5CDD505-2E9C-101B-9397-08002B2CF9AE}" pid="4" name="ICV">
    <vt:lpwstr>2C6C068E31BF4793B604AD2B10CC09DF_13</vt:lpwstr>
  </property>
</Properties>
</file>