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8F6476">
      <w:pPr>
        <w:jc w:val="center"/>
        <w:rPr>
          <w:rFonts w:hint="default"/>
          <w:lang w:val="en-US" w:eastAsia="zh-CN"/>
        </w:rPr>
      </w:pPr>
      <w:r>
        <w:rPr>
          <w:rFonts w:hint="default" w:ascii="Times New Roman Bold" w:hAnsi="Times New Roman Bold" w:cs="Times New Roman Bold"/>
          <w:b/>
          <w:bCs/>
          <w:lang w:val="en-US" w:eastAsia="zh-CN"/>
        </w:rPr>
        <w:t>体育活动干预对社交体型焦虑的影响：系统评价和荟萃分析</w:t>
      </w:r>
    </w:p>
    <w:p w14:paraId="0BA96160">
      <w:pPr>
        <w:rPr>
          <w:rFonts w:hint="eastAsia"/>
          <w:lang w:val="en-US" w:eastAsia="zh-CN"/>
        </w:rPr>
      </w:pPr>
    </w:p>
    <w:p w14:paraId="74EF2B8A">
      <w:pPr>
        <w:rPr>
          <w:rFonts w:hint="default"/>
          <w:lang w:val="en-US" w:eastAsia="zh-CN"/>
        </w:rPr>
      </w:pPr>
      <w:r>
        <w:rPr>
          <w:rFonts w:hint="eastAsia"/>
          <w:lang w:val="en-US" w:eastAsia="zh-CN"/>
        </w:rPr>
        <w:t>一、介绍</w:t>
      </w:r>
      <w:bookmarkStart w:id="0" w:name="_GoBack"/>
      <w:bookmarkEnd w:id="0"/>
    </w:p>
    <w:p w14:paraId="3C54FCD4">
      <w:pPr>
        <w:rPr>
          <w:rFonts w:hint="default" w:ascii="Times New Roman Bold" w:hAnsi="Times New Roman Bold" w:cs="Times New Roman Bold"/>
          <w:b/>
          <w:bCs/>
          <w:i w:val="0"/>
          <w:iCs w:val="0"/>
          <w:lang w:val="en-US" w:eastAsia="zh-CN"/>
        </w:rPr>
      </w:pPr>
      <w:r>
        <w:rPr>
          <w:rFonts w:hint="eastAsia" w:ascii="Times New Roman Bold" w:hAnsi="Times New Roman Bold" w:cs="Times New Roman Bold"/>
          <w:b/>
          <w:bCs/>
          <w:i w:val="0"/>
          <w:iCs w:val="0"/>
          <w:lang w:val="en-US" w:eastAsia="zh-CN"/>
        </w:rPr>
        <w:t xml:space="preserve">1.1 </w:t>
      </w:r>
      <w:r>
        <w:rPr>
          <w:rFonts w:hint="default" w:ascii="Times New Roman Bold" w:hAnsi="Times New Roman Bold" w:cs="Times New Roman Bold"/>
          <w:b/>
          <w:bCs/>
          <w:i w:val="0"/>
          <w:iCs w:val="0"/>
          <w:lang w:val="en-US" w:eastAsia="zh-CN"/>
        </w:rPr>
        <w:t>研究背景</w:t>
      </w:r>
    </w:p>
    <w:p w14:paraId="1B865FD6">
      <w:pPr>
        <w:rPr>
          <w:rFonts w:hint="eastAsia"/>
          <w:lang w:val="en-US" w:eastAsia="zh-CN"/>
        </w:rPr>
      </w:pPr>
      <w:r>
        <w:rPr>
          <w:rFonts w:hint="eastAsia"/>
          <w:lang w:val="en-US" w:eastAsia="zh-CN"/>
        </w:rPr>
        <w:t>社交体型焦虑（SPA）是指个体感知或预期自身体型可能被他人评价时所经历的焦虑或不适感。最初，社交体型焦虑量表（SPAS）被用于对其进行操作化定义，该量表评估个体对自身身体和外貌的社会评价的担忧（Hart et al., 1989）。社交体型焦虑在体育活动中尤为重要，因为运动、体育锻炼和其他形式的体育活动通常涉及身体的可见性、社会比较以及对身体外貌或表现的评价（Sabiston et al., 2014）。以往的研究表明，参与体育活动可能会影响与身体相关的心理结果，包括社交体型焦虑。例如，运动与更广泛的身体意象改善相关（Hausenblas &amp; Fallon, 2006），干预研究也报告称，参与结构化的体育活动项目后，社交体型焦虑有所减轻（Lindwall &amp; Lindgren, 2005）。这些研究结果表明，体育活动干预可能为减少 SPA 提供一种有效的方法，尽管这些效果的程度和一致性仍不清楚。</w:t>
      </w:r>
    </w:p>
    <w:p w14:paraId="1E18A9F6">
      <w:pPr>
        <w:rPr>
          <w:rFonts w:hint="eastAsia"/>
          <w:lang w:val="en-US" w:eastAsia="zh-CN"/>
        </w:rPr>
      </w:pPr>
    </w:p>
    <w:p w14:paraId="72798B65">
      <w:pPr>
        <w:rPr>
          <w:rFonts w:hint="default" w:ascii="Times New Roman Bold" w:hAnsi="Times New Roman Bold" w:cs="Times New Roman Bold"/>
          <w:b/>
          <w:bCs/>
          <w:lang w:val="en-US" w:eastAsia="zh-CN"/>
        </w:rPr>
      </w:pPr>
      <w:r>
        <w:rPr>
          <w:rFonts w:hint="eastAsia" w:ascii="Times New Roman Bold" w:hAnsi="Times New Roman Bold" w:cs="Times New Roman Bold"/>
          <w:b/>
          <w:bCs/>
          <w:lang w:val="en-US" w:eastAsia="zh-CN"/>
        </w:rPr>
        <w:t xml:space="preserve">1.2 </w:t>
      </w:r>
      <w:r>
        <w:rPr>
          <w:rFonts w:hint="default" w:ascii="Times New Roman Bold" w:hAnsi="Times New Roman Bold" w:cs="Times New Roman Bold"/>
          <w:b/>
          <w:bCs/>
          <w:lang w:val="en-US" w:eastAsia="zh-CN"/>
        </w:rPr>
        <w:t>研究空白</w:t>
      </w:r>
    </w:p>
    <w:p w14:paraId="3A4387BA">
      <w:pPr>
        <w:rPr>
          <w:rFonts w:hint="eastAsia"/>
          <w:lang w:val="en-US" w:eastAsia="zh-CN"/>
        </w:rPr>
      </w:pPr>
      <w:r>
        <w:rPr>
          <w:rFonts w:hint="eastAsia"/>
          <w:lang w:val="en-US" w:eastAsia="zh-CN"/>
        </w:rPr>
        <w:t>目前关于身体活动与社交体型焦虑（SPA）的证据仍然较为分散。Sabiston等人（2014）对SPA的研究进行了全面的综述，包括其测量方法、理论基础、预测因素、结果以及与身体活动的关系，但并未对干预效果进行定量分析。近期的一些综述则关注了更为具体的议题。例如，Liu等人（2025）考察了舞蹈对SPA和身体自尊的影响，而Li等人（2026）则综合分析了青少年和青年人群中身体活动与SPA之间的关联。然而，这些综述要么侧重于特定形式的身体活动，要么考察的是相关性关系，而非身体活动干预的效果。因此，身体活动干预对SPA的总体影响尚不明确，不同类型的身体活动干预是否会产生不同的效果也知之甚少。因此，本系统综述和荟萃分析旨在评估身体活动干预对社交体型焦虑的总体影响。初步将体育活动干预措施分为四类：有氧运动、多组分体育活动、身心运动和体感游戏，以检验干预效果是否因活动类型而异。在证据充足的情况下，该综述还将探讨参与者、干预措施和研究特征是否会导致干预效果的差异。</w:t>
      </w:r>
    </w:p>
    <w:p w14:paraId="6E7E0654">
      <w:pPr>
        <w:rPr>
          <w:rFonts w:hint="eastAsia"/>
          <w:lang w:val="en-US" w:eastAsia="zh-CN"/>
        </w:rPr>
      </w:pPr>
    </w:p>
    <w:p w14:paraId="645E65AC">
      <w:pPr>
        <w:rPr>
          <w:rFonts w:hint="eastAsia"/>
          <w:lang w:val="en-US" w:eastAsia="zh-CN"/>
        </w:rPr>
      </w:pPr>
      <w:r>
        <w:rPr>
          <w:rFonts w:hint="eastAsia" w:ascii="Times New Roman Bold" w:hAnsi="Times New Roman Bold" w:cs="Times New Roman Bold"/>
          <w:b/>
          <w:bCs/>
          <w:lang w:val="en-US" w:eastAsia="zh-CN"/>
        </w:rPr>
        <w:t xml:space="preserve">1.3 </w:t>
      </w:r>
      <w:r>
        <w:rPr>
          <w:rFonts w:hint="default" w:ascii="Times New Roman Bold" w:hAnsi="Times New Roman Bold" w:cs="Times New Roman Bold"/>
          <w:b/>
          <w:bCs/>
          <w:lang w:val="en-US" w:eastAsia="zh-CN"/>
        </w:rPr>
        <w:t>研究问题</w:t>
      </w:r>
    </w:p>
    <w:p w14:paraId="1BDFA0A5">
      <w:pPr>
        <w:rPr>
          <w:rFonts w:hint="eastAsia"/>
          <w:lang w:val="en-US" w:eastAsia="zh-CN"/>
        </w:rPr>
      </w:pPr>
      <w:r>
        <w:rPr>
          <w:rFonts w:hint="eastAsia"/>
          <w:lang w:val="en-US" w:eastAsia="zh-CN"/>
        </w:rPr>
        <w:t>RQ1：体育活动干预对社交体型焦虑的总体影响是什么？</w:t>
      </w:r>
    </w:p>
    <w:p w14:paraId="10607BBA">
      <w:pPr>
        <w:rPr>
          <w:rFonts w:hint="eastAsia"/>
          <w:lang w:val="en-US" w:eastAsia="zh-CN"/>
        </w:rPr>
      </w:pPr>
      <w:r>
        <w:rPr>
          <w:rFonts w:hint="eastAsia"/>
          <w:lang w:val="en-US" w:eastAsia="zh-CN"/>
        </w:rPr>
        <w:t>RQ2：体育活动干预对社交体型焦虑的影响在四种预先设定的干预类型（有氧运动、多组分体育活动、身心运动和体感游戏）中有何差异？</w:t>
      </w:r>
    </w:p>
    <w:p w14:paraId="3D5534DD">
      <w:pPr>
        <w:rPr>
          <w:rFonts w:hint="eastAsia"/>
          <w:lang w:val="en-US" w:eastAsia="zh-CN"/>
        </w:rPr>
      </w:pPr>
      <w:r>
        <w:rPr>
          <w:rFonts w:hint="eastAsia"/>
          <w:lang w:val="en-US" w:eastAsia="zh-CN"/>
        </w:rPr>
        <w:t>RQ3：参与者、干预措施和研究特征在多大程度上调节体育活动干预对社交体型焦虑的影响？</w:t>
      </w:r>
    </w:p>
    <w:p w14:paraId="22F2A394">
      <w:pPr>
        <w:rPr>
          <w:rFonts w:hint="eastAsia"/>
          <w:lang w:val="en-US" w:eastAsia="zh-CN"/>
        </w:rPr>
      </w:pPr>
    </w:p>
    <w:p w14:paraId="6A9A708D">
      <w:pPr>
        <w:rPr>
          <w:rFonts w:hint="eastAsia"/>
          <w:lang w:val="en-US" w:eastAsia="zh-CN"/>
        </w:rPr>
      </w:pPr>
      <w:r>
        <w:rPr>
          <w:rFonts w:hint="eastAsia" w:ascii="Times New Roman Bold" w:hAnsi="Times New Roman Bold" w:cs="Times New Roman Bold"/>
          <w:b/>
          <w:bCs/>
          <w:lang w:val="en-US" w:eastAsia="zh-CN"/>
        </w:rPr>
        <w:t xml:space="preserve">1.4 </w:t>
      </w:r>
      <w:r>
        <w:rPr>
          <w:rFonts w:hint="default" w:ascii="Times New Roman Bold" w:hAnsi="Times New Roman Bold" w:cs="Times New Roman Bold"/>
          <w:b/>
          <w:bCs/>
          <w:lang w:val="en-US" w:eastAsia="zh-CN"/>
        </w:rPr>
        <w:t>研究目标</w:t>
      </w:r>
    </w:p>
    <w:p w14:paraId="3061FED6">
      <w:pPr>
        <w:rPr>
          <w:rFonts w:hint="eastAsia"/>
          <w:lang w:val="en-US" w:eastAsia="zh-CN"/>
        </w:rPr>
      </w:pPr>
      <w:r>
        <w:rPr>
          <w:rFonts w:hint="eastAsia"/>
          <w:lang w:val="en-US" w:eastAsia="zh-CN"/>
        </w:rPr>
        <w:t>RO1：评估体育活动干预对社交体型焦虑的总体影响。</w:t>
      </w:r>
    </w:p>
    <w:p w14:paraId="037858A2">
      <w:pPr>
        <w:rPr>
          <w:rFonts w:hint="eastAsia"/>
          <w:lang w:val="en-US" w:eastAsia="zh-CN"/>
        </w:rPr>
      </w:pPr>
      <w:r>
        <w:rPr>
          <w:rFonts w:hint="eastAsia"/>
          <w:lang w:val="en-US" w:eastAsia="zh-CN"/>
        </w:rPr>
        <w:t>RO2：比较四种预先设定的体育活动干预类型（有氧运动、多组分体育活动、身心运动和体感游戏）对社交体型焦虑的影响程度和模式。</w:t>
      </w:r>
    </w:p>
    <w:p w14:paraId="1BC0348A">
      <w:pPr>
        <w:rPr>
          <w:rFonts w:hint="eastAsia"/>
          <w:lang w:val="en-US" w:eastAsia="zh-CN"/>
        </w:rPr>
      </w:pPr>
      <w:r>
        <w:rPr>
          <w:rFonts w:hint="eastAsia"/>
          <w:lang w:val="en-US" w:eastAsia="zh-CN"/>
        </w:rPr>
        <w:t>RO3：探讨参与者、干预措施和研究特征是否会调节体育活动干预对社交体型焦虑的影响。</w:t>
      </w:r>
    </w:p>
    <w:p w14:paraId="2E12FC88">
      <w:pPr>
        <w:rPr>
          <w:rFonts w:hint="eastAsia"/>
          <w:lang w:val="en-US" w:eastAsia="zh-CN"/>
        </w:rPr>
      </w:pPr>
    </w:p>
    <w:p w14:paraId="7AF6A700">
      <w:pPr>
        <w:numPr>
          <w:ilvl w:val="0"/>
          <w:numId w:val="1"/>
        </w:numPr>
        <w:rPr>
          <w:rFonts w:hint="eastAsia"/>
          <w:lang w:val="en-US" w:eastAsia="zh-CN"/>
        </w:rPr>
      </w:pPr>
      <w:r>
        <w:rPr>
          <w:rFonts w:hint="eastAsia"/>
          <w:lang w:val="en-US" w:eastAsia="zh-CN"/>
        </w:rPr>
        <w:t>方法</w:t>
      </w:r>
    </w:p>
    <w:p w14:paraId="326931D0">
      <w:pPr>
        <w:numPr>
          <w:ilvl w:val="0"/>
          <w:numId w:val="0"/>
        </w:numPr>
        <w:spacing w:before="0" w:after="0" w:line="276" w:lineRule="auto"/>
        <w:rPr>
          <w:rFonts w:hint="default"/>
          <w:lang w:val="en-US" w:eastAsia="zh-CN"/>
        </w:rPr>
      </w:pPr>
      <w:r>
        <w:rPr>
          <w:rFonts w:hint="default"/>
          <w:lang w:val="en-US" w:eastAsia="zh-CN"/>
        </w:rPr>
        <w:t>本综述将按照系统评价和荟萃分析的首选报告条目声明（PRISMA；Page等人，2021）和美国心理学会荟萃分析报告标准（MARS；Appelbaum等人，2018）进行开展和报告。研究方法和分析已在系统评价注册中心PROSPERO进行预注册（2026年9月8日；注册号：CRD420261499048）。</w:t>
      </w:r>
    </w:p>
    <w:p w14:paraId="5FD8385C">
      <w:pPr>
        <w:numPr>
          <w:ilvl w:val="0"/>
          <w:numId w:val="0"/>
        </w:numPr>
        <w:spacing w:before="0" w:after="0" w:line="276" w:lineRule="auto"/>
        <w:rPr>
          <w:rFonts w:hint="default"/>
          <w:lang w:val="en-US" w:eastAsia="zh-CN"/>
        </w:rPr>
      </w:pPr>
    </w:p>
    <w:p w14:paraId="04946F13">
      <w:pPr>
        <w:numPr>
          <w:ilvl w:val="0"/>
          <w:numId w:val="0"/>
        </w:numPr>
        <w:spacing w:before="0" w:after="0" w:line="276" w:lineRule="auto"/>
        <w:rPr>
          <w:rFonts w:hint="default"/>
          <w:lang w:val="en-US" w:eastAsia="zh-CN"/>
        </w:rPr>
      </w:pPr>
      <w:r>
        <w:rPr>
          <w:rFonts w:hint="default" w:ascii="Times New Roman Bold" w:hAnsi="Times New Roman Bold" w:cs="Times New Roman Bold"/>
          <w:b/>
          <w:bCs/>
          <w:lang w:val="en-US" w:eastAsia="zh-CN"/>
        </w:rPr>
        <w:t>2.1 研究查找和检索策略</w:t>
      </w:r>
    </w:p>
    <w:p w14:paraId="50E68F0E">
      <w:pPr>
        <w:numPr>
          <w:ilvl w:val="0"/>
          <w:numId w:val="0"/>
        </w:numPr>
        <w:spacing w:before="0" w:after="0" w:line="276" w:lineRule="auto"/>
        <w:rPr>
          <w:rFonts w:hint="default"/>
          <w:lang w:val="en-US" w:eastAsia="zh-CN"/>
        </w:rPr>
      </w:pPr>
      <w:r>
        <w:rPr>
          <w:rFonts w:hint="default"/>
          <w:lang w:val="en-US" w:eastAsia="zh-CN"/>
        </w:rPr>
        <w:t>我们将对十个电子数据库进行系统文献检索：PubMed/MEDLINE、Web of Science Core Collection、Embase、CINAHL、SPORTDiscus、APA PsycINFO、PsycARTICLES、ERIC、ProQuest 和中国知网 (CNKI)。</w:t>
      </w:r>
    </w:p>
    <w:p w14:paraId="7E115A64">
      <w:pPr>
        <w:numPr>
          <w:ilvl w:val="0"/>
          <w:numId w:val="0"/>
        </w:numPr>
        <w:spacing w:before="0" w:after="0" w:line="276" w:lineRule="auto"/>
        <w:rPr>
          <w:rFonts w:hint="default"/>
          <w:lang w:val="en-US" w:eastAsia="zh-CN"/>
        </w:rPr>
      </w:pPr>
      <w:r>
        <w:rPr>
          <w:rFonts w:hint="default"/>
          <w:lang w:val="en-US" w:eastAsia="zh-CN"/>
        </w:rPr>
        <w:t>我们还将筛选纳入研究和相关综述的参考文献，以识别其他符合条件的研究。检索策略将包含两个核心概念：体育活动干预和社会体型焦虑。我们将结合受控词表（包括适用的医学主题词 MeSH 术语）和自由文本术语，并根据每个数据库的索引系统和检索语法进行调整。体育活动检索将包括与运动、体育活动、体育锻炼、体能训练、有氧运动、阻力训练、身心锻炼、多组分体育活动和体感游戏相关的广泛术语，而社会体型焦虑检索将包括“社会体型焦虑”、“体型焦虑”、“SPAS”和“社会体型焦虑量表”等术语。对于中国知网（CNKI），将使用与身体活动和SPA相关的中文术语，并通过对相关中文文献的初步检索进行完善。在初步检索和筛选阶段，不会对参与者的性别、年龄、干预时长或研究设计进行任何限制。完整的检索策略、检索日期以及从每个数据库检索到的记录数量都将被记录。所有检索到的记录将导入Covidence进行去重和后续筛选。表1列出了所有数据库最终使用的检索词。</w:t>
      </w:r>
    </w:p>
    <w:p w14:paraId="3C168D35">
      <w:pPr>
        <w:numPr>
          <w:ilvl w:val="0"/>
          <w:numId w:val="0"/>
        </w:numPr>
        <w:spacing w:before="0" w:after="0" w:line="276" w:lineRule="auto"/>
        <w:rPr>
          <w:rFonts w:hint="default"/>
          <w:lang w:val="en-US" w:eastAsia="zh-CN"/>
        </w:rPr>
      </w:pPr>
      <w:r>
        <w:rPr>
          <w:rFonts w:hint="default"/>
          <w:lang w:val="en-US" w:eastAsia="zh-CN"/>
        </w:rPr>
        <w:t>本研究的文献筛选过程由两位第一作者独立完成，遵循先筛选标题和摘要，再进行全文筛选的顺序流程。我们还</w:t>
      </w:r>
      <w:r>
        <w:rPr>
          <w:rFonts w:hint="eastAsia"/>
          <w:lang w:val="en-US" w:eastAsia="zh-CN"/>
        </w:rPr>
        <w:t>会</w:t>
      </w:r>
      <w:r>
        <w:rPr>
          <w:rFonts w:hint="default"/>
          <w:lang w:val="en-US" w:eastAsia="zh-CN"/>
        </w:rPr>
        <w:t>联系纳入研究的通讯作者，以获取可能适合纳入的未发表数据以及研究中未提供的相关信息（例如，样本的平均年龄）。最终，</w:t>
      </w:r>
      <w:r>
        <w:rPr>
          <w:rFonts w:hint="eastAsia"/>
          <w:lang w:val="en-US" w:eastAsia="zh-CN"/>
        </w:rPr>
        <w:t>XX</w:t>
      </w:r>
      <w:r>
        <w:rPr>
          <w:rFonts w:hint="default"/>
          <w:lang w:val="en-US" w:eastAsia="zh-CN"/>
        </w:rPr>
        <w:t>的受访作者提供了最终纳入分析的数据。</w:t>
      </w:r>
    </w:p>
    <w:p w14:paraId="3B5FA39A">
      <w:pPr>
        <w:numPr>
          <w:ilvl w:val="0"/>
          <w:numId w:val="0"/>
        </w:numPr>
        <w:spacing w:before="0" w:after="0" w:line="276" w:lineRule="auto"/>
        <w:rPr>
          <w:rFonts w:hint="default"/>
          <w:lang w:val="en-US" w:eastAsia="zh-CN"/>
        </w:rPr>
      </w:pPr>
    </w:p>
    <w:p w14:paraId="7C58FDA5">
      <w:pPr>
        <w:numPr>
          <w:ilvl w:val="0"/>
          <w:numId w:val="0"/>
        </w:numPr>
        <w:spacing w:before="0" w:after="0" w:line="276" w:lineRule="auto"/>
        <w:rPr>
          <w:rFonts w:hint="default" w:ascii="Times New Roman Bold" w:hAnsi="Times New Roman Bold" w:cs="Times New Roman Bold"/>
          <w:b/>
          <w:bCs/>
          <w:lang w:val="en-US" w:eastAsia="zh-CN"/>
        </w:rPr>
      </w:pPr>
      <w:r>
        <w:rPr>
          <w:rFonts w:hint="default" w:ascii="Times New Roman Bold" w:hAnsi="Times New Roman Bold" w:cs="Times New Roman Bold"/>
          <w:b/>
          <w:bCs/>
          <w:lang w:val="en-US" w:eastAsia="zh-CN"/>
        </w:rPr>
        <w:t>Table 1. 检索词</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1"/>
        <w:gridCol w:w="6565"/>
      </w:tblGrid>
      <w:tr w14:paraId="5F88A0C1">
        <w:tc>
          <w:tcPr>
            <w:tcW w:w="1841" w:type="dxa"/>
          </w:tcPr>
          <w:p w14:paraId="7A70BFC8">
            <w:pPr>
              <w:widowControl w:val="0"/>
              <w:numPr>
                <w:ilvl w:val="0"/>
                <w:numId w:val="0"/>
              </w:numPr>
              <w:spacing w:before="0" w:after="0" w:line="276" w:lineRule="auto"/>
              <w:jc w:val="both"/>
              <w:rPr>
                <w:rFonts w:hint="default" w:ascii="Times New Roman Regular" w:hAnsi="Times New Roman Regular" w:cs="Times New Roman Regular"/>
                <w:vertAlign w:val="baseline"/>
                <w:lang w:val="en-US" w:eastAsia="zh-CN"/>
              </w:rPr>
            </w:pPr>
            <w:r>
              <w:rPr>
                <w:rFonts w:hint="default" w:ascii="Times New Roman Regular" w:hAnsi="Times New Roman Regular" w:cs="Times New Roman Regular"/>
                <w:vertAlign w:val="baseline"/>
                <w:lang w:val="en-US" w:eastAsia="zh-CN"/>
              </w:rPr>
              <w:t>PICOS</w:t>
            </w:r>
          </w:p>
        </w:tc>
        <w:tc>
          <w:tcPr>
            <w:tcW w:w="6565" w:type="dxa"/>
          </w:tcPr>
          <w:p w14:paraId="5697903B">
            <w:pPr>
              <w:widowControl w:val="0"/>
              <w:numPr>
                <w:ilvl w:val="0"/>
                <w:numId w:val="0"/>
              </w:numPr>
              <w:spacing w:before="0" w:after="0" w:line="276" w:lineRule="auto"/>
              <w:jc w:val="both"/>
              <w:rPr>
                <w:rFonts w:hint="default" w:ascii="Times New Roman Regular" w:hAnsi="Times New Roman Regular" w:cs="Times New Roman Regular"/>
                <w:vertAlign w:val="baseline"/>
                <w:lang w:val="en-US" w:eastAsia="zh-CN"/>
              </w:rPr>
            </w:pPr>
            <w:r>
              <w:rPr>
                <w:rFonts w:hint="default" w:ascii="Times New Roman Regular" w:hAnsi="Times New Roman Regular" w:cs="Times New Roman Regular"/>
                <w:vertAlign w:val="baseline"/>
                <w:lang w:val="en-US" w:eastAsia="zh-CN"/>
              </w:rPr>
              <w:t>检索词</w:t>
            </w:r>
          </w:p>
        </w:tc>
      </w:tr>
      <w:tr w14:paraId="107B4B91">
        <w:tc>
          <w:tcPr>
            <w:tcW w:w="1841" w:type="dxa"/>
          </w:tcPr>
          <w:p w14:paraId="7197C72C">
            <w:pPr>
              <w:widowControl w:val="0"/>
              <w:numPr>
                <w:ilvl w:val="0"/>
                <w:numId w:val="0"/>
              </w:numPr>
              <w:spacing w:before="0" w:after="0" w:line="276" w:lineRule="auto"/>
              <w:jc w:val="both"/>
              <w:rPr>
                <w:rFonts w:hint="default" w:ascii="Times New Roman Regular" w:hAnsi="Times New Roman Regular" w:cs="Times New Roman Regular"/>
                <w:vertAlign w:val="baseline"/>
                <w:lang w:val="en-US" w:eastAsia="zh-CN"/>
              </w:rPr>
            </w:pPr>
            <w:r>
              <w:rPr>
                <w:rFonts w:hint="default" w:ascii="Times New Roman Regular" w:hAnsi="Times New Roman Regular" w:cs="Times New Roman Regular"/>
                <w:vertAlign w:val="baseline"/>
                <w:lang w:val="en-US" w:eastAsia="zh-CN"/>
              </w:rPr>
              <w:t>P</w:t>
            </w:r>
          </w:p>
        </w:tc>
        <w:tc>
          <w:tcPr>
            <w:tcW w:w="6565" w:type="dxa"/>
          </w:tcPr>
          <w:p w14:paraId="5C62564B">
            <w:pPr>
              <w:widowControl w:val="0"/>
              <w:numPr>
                <w:ilvl w:val="0"/>
                <w:numId w:val="0"/>
              </w:numPr>
              <w:spacing w:before="0" w:after="0" w:line="276" w:lineRule="auto"/>
              <w:jc w:val="both"/>
              <w:rPr>
                <w:rFonts w:hint="default" w:ascii="Times New Roman Regular" w:hAnsi="Times New Roman Regular" w:cs="Times New Roman Regular"/>
                <w:vertAlign w:val="baseline"/>
                <w:lang w:val="en-US" w:eastAsia="zh-CN"/>
              </w:rPr>
            </w:pPr>
          </w:p>
        </w:tc>
      </w:tr>
      <w:tr w14:paraId="28B13F0E">
        <w:tc>
          <w:tcPr>
            <w:tcW w:w="1841" w:type="dxa"/>
          </w:tcPr>
          <w:p w14:paraId="5447DD50">
            <w:pPr>
              <w:widowControl w:val="0"/>
              <w:numPr>
                <w:ilvl w:val="0"/>
                <w:numId w:val="0"/>
              </w:numPr>
              <w:spacing w:before="0" w:after="0" w:line="276" w:lineRule="auto"/>
              <w:jc w:val="both"/>
              <w:rPr>
                <w:rFonts w:hint="default" w:ascii="Times New Roman Regular" w:hAnsi="Times New Roman Regular" w:cs="Times New Roman Regular"/>
                <w:vertAlign w:val="baseline"/>
                <w:lang w:val="en-US" w:eastAsia="zh-CN"/>
              </w:rPr>
            </w:pPr>
            <w:r>
              <w:rPr>
                <w:rFonts w:hint="default" w:ascii="Times New Roman Regular" w:hAnsi="Times New Roman Regular" w:cs="Times New Roman Regular"/>
                <w:vertAlign w:val="baseline"/>
                <w:lang w:val="en-US" w:eastAsia="zh-CN"/>
              </w:rPr>
              <w:t>I</w:t>
            </w:r>
          </w:p>
          <w:p w14:paraId="27B69E08">
            <w:pPr>
              <w:widowControl w:val="0"/>
              <w:numPr>
                <w:ilvl w:val="0"/>
                <w:numId w:val="0"/>
              </w:numPr>
              <w:spacing w:before="0" w:after="0" w:line="276" w:lineRule="auto"/>
              <w:jc w:val="both"/>
              <w:rPr>
                <w:rFonts w:hint="default" w:ascii="Times New Roman Regular" w:hAnsi="Times New Roman Regular" w:cs="Times New Roman Regular"/>
                <w:vertAlign w:val="baseline"/>
                <w:lang w:val="en-US" w:eastAsia="zh-CN"/>
              </w:rPr>
            </w:pPr>
            <w:r>
              <w:rPr>
                <w:rFonts w:hint="eastAsia" w:ascii="Times New Roman Regular" w:hAnsi="Times New Roman Regular" w:cs="Times New Roman Regular"/>
                <w:vertAlign w:val="baseline"/>
                <w:lang w:val="en-US" w:eastAsia="zh-CN"/>
              </w:rPr>
              <w:t>(</w:t>
            </w:r>
            <w:r>
              <w:rPr>
                <w:rFonts w:hint="default" w:ascii="Times New Roman Regular" w:hAnsi="Times New Roman Regular" w:cs="Times New Roman Regular"/>
                <w:vertAlign w:val="baseline"/>
                <w:lang w:val="en-US" w:eastAsia="zh-CN"/>
              </w:rPr>
              <w:t>Physical Activity Intervention</w:t>
            </w:r>
            <w:r>
              <w:rPr>
                <w:rFonts w:hint="eastAsia" w:ascii="Times New Roman Regular" w:hAnsi="Times New Roman Regular" w:cs="Times New Roman Regular"/>
                <w:vertAlign w:val="baseline"/>
                <w:lang w:val="en-US" w:eastAsia="zh-CN"/>
              </w:rPr>
              <w:t>)</w:t>
            </w:r>
          </w:p>
        </w:tc>
        <w:tc>
          <w:tcPr>
            <w:tcW w:w="6565" w:type="dxa"/>
          </w:tcPr>
          <w:p w14:paraId="1B5D3BD7">
            <w:pPr>
              <w:widowControl w:val="0"/>
              <w:spacing w:before="0" w:after="0" w:line="480" w:lineRule="auto"/>
              <w:jc w:val="left"/>
              <w:rPr>
                <w:rFonts w:hint="default" w:ascii="Times New Roman Regular" w:hAnsi="Times New Roman Regular" w:cs="Times New Roman Regular"/>
                <w:szCs w:val="24"/>
              </w:rPr>
            </w:pPr>
            <w:r>
              <w:rPr>
                <w:rFonts w:hint="default" w:ascii="Times New Roman Regular" w:hAnsi="Times New Roman Regular" w:cs="Times New Roman Regular"/>
                <w:szCs w:val="24"/>
              </w:rPr>
              <w:t>"physical activity" OR exercise OR training OR sport OR motor OR "physical fitness"</w:t>
            </w:r>
            <w:r>
              <w:rPr>
                <w:rFonts w:hint="default" w:ascii="Times New Roman Regular" w:hAnsi="Times New Roman Regular" w:eastAsia="宋体" w:cs="Times New Roman Regular"/>
                <w:szCs w:val="24"/>
                <w:lang w:val="en-US" w:eastAsia="zh-CN"/>
              </w:rPr>
              <w:t xml:space="preserve"> </w:t>
            </w:r>
            <w:r>
              <w:rPr>
                <w:rFonts w:hint="default" w:ascii="Times New Roman Regular" w:hAnsi="Times New Roman Regular" w:cs="Times New Roman Regular"/>
                <w:szCs w:val="24"/>
              </w:rPr>
              <w:t>OR aerobic OR endurance OR resistance OR strength OR HIIT OR exergaming</w:t>
            </w:r>
            <w:r>
              <w:rPr>
                <w:rFonts w:hint="default" w:ascii="Times New Roman Regular" w:hAnsi="Times New Roman Regular" w:eastAsia="宋体" w:cs="Times New Roman Regular"/>
                <w:szCs w:val="24"/>
                <w:lang w:val="en-US" w:eastAsia="zh-CN"/>
              </w:rPr>
              <w:t xml:space="preserve"> </w:t>
            </w:r>
            <w:r>
              <w:rPr>
                <w:rFonts w:hint="default" w:ascii="Times New Roman Regular" w:hAnsi="Times New Roman Regular" w:cs="Times New Roman Regular"/>
                <w:szCs w:val="24"/>
              </w:rPr>
              <w:t>OR gymnastics OR running OR cycling OR ball OR racket OR treadmill OR swimming</w:t>
            </w:r>
            <w:r>
              <w:rPr>
                <w:rFonts w:hint="default" w:ascii="Times New Roman Regular" w:hAnsi="Times New Roman Regular" w:eastAsia="宋体" w:cs="Times New Roman Regular"/>
                <w:szCs w:val="24"/>
                <w:lang w:val="en-US" w:eastAsia="zh-CN"/>
              </w:rPr>
              <w:t xml:space="preserve"> </w:t>
            </w:r>
            <w:r>
              <w:rPr>
                <w:rFonts w:hint="default" w:ascii="Times New Roman Regular" w:hAnsi="Times New Roman Regular" w:cs="Times New Roman Regular"/>
                <w:szCs w:val="24"/>
              </w:rPr>
              <w:t>OR "martial arts" OR mind-body OR danc* OR</w:t>
            </w:r>
            <w:r>
              <w:rPr>
                <w:rFonts w:hint="default" w:ascii="Times New Roman Regular" w:hAnsi="Times New Roman Regular" w:eastAsia="宋体" w:cs="Times New Roman Regular"/>
                <w:szCs w:val="24"/>
                <w:lang w:val="en-US" w:eastAsia="zh-CN"/>
              </w:rPr>
              <w:t xml:space="preserve"> </w:t>
            </w:r>
            <w:r>
              <w:rPr>
                <w:rFonts w:hint="default" w:ascii="Times New Roman Regular" w:hAnsi="Times New Roman Regular" w:cs="Times New Roman Regular"/>
                <w:szCs w:val="24"/>
              </w:rPr>
              <w:t>athletic* OR "physical training" OR fitness OR isometric*</w:t>
            </w:r>
            <w:r>
              <w:rPr>
                <w:rFonts w:hint="default" w:ascii="Times New Roman Regular" w:hAnsi="Times New Roman Regular" w:eastAsia="宋体" w:cs="Times New Roman Regular"/>
                <w:szCs w:val="24"/>
                <w:lang w:val="en-US" w:eastAsia="zh-CN"/>
              </w:rPr>
              <w:t xml:space="preserve"> </w:t>
            </w:r>
            <w:r>
              <w:rPr>
                <w:rFonts w:hint="default" w:ascii="Times New Roman Regular" w:hAnsi="Times New Roman Regular" w:cs="Times New Roman Regular"/>
                <w:szCs w:val="24"/>
              </w:rPr>
              <w:t>OR "exercise training" OR "exercise prescription" OR "exercise therap*"</w:t>
            </w:r>
            <w:r>
              <w:rPr>
                <w:rFonts w:hint="default" w:ascii="Times New Roman Regular" w:hAnsi="Times New Roman Regular" w:eastAsia="宋体" w:cs="Times New Roman Regular"/>
                <w:szCs w:val="24"/>
                <w:lang w:val="en-US" w:eastAsia="zh-CN"/>
              </w:rPr>
              <w:t xml:space="preserve"> </w:t>
            </w:r>
            <w:r>
              <w:rPr>
                <w:rFonts w:hint="default" w:ascii="Times New Roman Regular" w:hAnsi="Times New Roman Regular" w:cs="Times New Roman Regular"/>
                <w:szCs w:val="24"/>
              </w:rPr>
              <w:t>OR "rehabilitation exercise*" OR "remedial exercise*"</w:t>
            </w:r>
            <w:r>
              <w:rPr>
                <w:rFonts w:hint="default" w:ascii="Times New Roman Regular" w:hAnsi="Times New Roman Regular" w:eastAsia="宋体" w:cs="Times New Roman Regular"/>
                <w:szCs w:val="24"/>
                <w:lang w:val="en-US" w:eastAsia="zh-CN"/>
              </w:rPr>
              <w:t xml:space="preserve"> </w:t>
            </w:r>
            <w:r>
              <w:rPr>
                <w:rFonts w:hint="default" w:ascii="Times New Roman Regular" w:hAnsi="Times New Roman Regular" w:cs="Times New Roman Regular"/>
                <w:szCs w:val="24"/>
              </w:rPr>
              <w:t>OR "active break*" OR "activity break*" OR "acute exercise*"</w:t>
            </w:r>
          </w:p>
          <w:p w14:paraId="3A815BDA">
            <w:pPr>
              <w:widowControl w:val="0"/>
              <w:spacing w:before="0" w:after="0" w:line="480" w:lineRule="auto"/>
              <w:jc w:val="left"/>
              <w:rPr>
                <w:rFonts w:hint="default" w:ascii="Times New Roman Regular" w:hAnsi="Times New Roman Regular" w:cs="Times New Roman Regular"/>
                <w:vertAlign w:val="baseline"/>
                <w:lang w:val="en-US" w:eastAsia="zh-CN"/>
              </w:rPr>
            </w:pPr>
            <w:r>
              <w:rPr>
                <w:rFonts w:hint="default" w:ascii="Times New Roman Regular" w:hAnsi="Times New Roman Regular" w:cs="Times New Roman Regular"/>
                <w:szCs w:val="24"/>
              </w:rPr>
              <w:t>OR "physical activity intervention*" OR "exercise movement technique*"</w:t>
            </w:r>
            <w:r>
              <w:rPr>
                <w:rFonts w:hint="default" w:ascii="Times New Roman Regular" w:hAnsi="Times New Roman Regular" w:eastAsia="宋体" w:cs="Times New Roman Regular"/>
                <w:szCs w:val="24"/>
                <w:lang w:val="en-US" w:eastAsia="zh-CN"/>
              </w:rPr>
              <w:t xml:space="preserve"> </w:t>
            </w:r>
            <w:r>
              <w:rPr>
                <w:rFonts w:hint="default" w:ascii="Times New Roman Regular" w:hAnsi="Times New Roman Regular" w:cs="Times New Roman Regular"/>
                <w:szCs w:val="24"/>
              </w:rPr>
              <w:t>OR pilates OR "pilates training" OR "resistance training"</w:t>
            </w:r>
            <w:r>
              <w:rPr>
                <w:rFonts w:hint="default" w:ascii="Times New Roman Regular" w:hAnsi="Times New Roman Regular" w:eastAsia="宋体" w:cs="Times New Roman Regular"/>
                <w:szCs w:val="24"/>
                <w:lang w:val="en-US" w:eastAsia="zh-CN"/>
              </w:rPr>
              <w:t xml:space="preserve"> </w:t>
            </w:r>
            <w:r>
              <w:rPr>
                <w:rFonts w:hint="default" w:ascii="Times New Roman Regular" w:hAnsi="Times New Roman Regular" w:cs="Times New Roman Regular"/>
                <w:szCs w:val="24"/>
              </w:rPr>
              <w:t>OR "strength training" OR "weight training" OR "interval training"</w:t>
            </w:r>
            <w:r>
              <w:rPr>
                <w:rFonts w:hint="default" w:ascii="Times New Roman Regular" w:hAnsi="Times New Roman Regular" w:eastAsia="宋体" w:cs="Times New Roman Regular"/>
                <w:szCs w:val="24"/>
                <w:lang w:val="en-US" w:eastAsia="zh-CN"/>
              </w:rPr>
              <w:t xml:space="preserve"> </w:t>
            </w:r>
            <w:r>
              <w:rPr>
                <w:rFonts w:hint="default" w:ascii="Times New Roman Regular" w:hAnsi="Times New Roman Regular" w:cs="Times New Roman Regular"/>
                <w:szCs w:val="24"/>
              </w:rPr>
              <w:t>OR yoga OR "tai chi" OR qigong OR walking OR jogging OR bicycling</w:t>
            </w:r>
            <w:r>
              <w:rPr>
                <w:rFonts w:hint="eastAsia" w:ascii="Times New Roman Regular" w:hAnsi="Times New Roman Regular" w:eastAsia="宋体" w:cs="Times New Roman Regular"/>
                <w:szCs w:val="24"/>
                <w:lang w:val="en-US" w:eastAsia="zh-CN"/>
              </w:rPr>
              <w:t xml:space="preserve"> </w:t>
            </w:r>
            <w:r>
              <w:rPr>
                <w:rFonts w:hint="default" w:ascii="Times New Roman Regular" w:hAnsi="Times New Roman Regular" w:cs="Times New Roman Regular"/>
                <w:szCs w:val="24"/>
              </w:rPr>
              <w:t>OR "active video game*"</w:t>
            </w:r>
          </w:p>
        </w:tc>
      </w:tr>
      <w:tr w14:paraId="25DC396E">
        <w:tc>
          <w:tcPr>
            <w:tcW w:w="1841" w:type="dxa"/>
          </w:tcPr>
          <w:p w14:paraId="5581C28F">
            <w:pPr>
              <w:widowControl w:val="0"/>
              <w:numPr>
                <w:ilvl w:val="0"/>
                <w:numId w:val="0"/>
              </w:numPr>
              <w:spacing w:before="0" w:after="0" w:line="276" w:lineRule="auto"/>
              <w:jc w:val="both"/>
              <w:rPr>
                <w:rFonts w:hint="default" w:ascii="Times New Roman Regular" w:hAnsi="Times New Roman Regular" w:cs="Times New Roman Regular"/>
                <w:vertAlign w:val="baseline"/>
                <w:lang w:val="en-US" w:eastAsia="zh-CN"/>
              </w:rPr>
            </w:pPr>
            <w:r>
              <w:rPr>
                <w:rFonts w:hint="default" w:ascii="Times New Roman Regular" w:hAnsi="Times New Roman Regular" w:cs="Times New Roman Regular"/>
                <w:vertAlign w:val="baseline"/>
                <w:lang w:val="en-US" w:eastAsia="zh-CN"/>
              </w:rPr>
              <w:t>C</w:t>
            </w:r>
          </w:p>
        </w:tc>
        <w:tc>
          <w:tcPr>
            <w:tcW w:w="6565" w:type="dxa"/>
          </w:tcPr>
          <w:p w14:paraId="158E4569">
            <w:pPr>
              <w:widowControl w:val="0"/>
              <w:numPr>
                <w:ilvl w:val="0"/>
                <w:numId w:val="0"/>
              </w:numPr>
              <w:spacing w:before="0" w:after="0" w:line="276" w:lineRule="auto"/>
              <w:jc w:val="both"/>
              <w:rPr>
                <w:rFonts w:hint="default" w:ascii="Times New Roman Regular" w:hAnsi="Times New Roman Regular" w:cs="Times New Roman Regular"/>
                <w:vertAlign w:val="baseline"/>
                <w:lang w:val="en-US" w:eastAsia="zh-CN"/>
              </w:rPr>
            </w:pPr>
          </w:p>
        </w:tc>
      </w:tr>
      <w:tr w14:paraId="43B715ED">
        <w:tc>
          <w:tcPr>
            <w:tcW w:w="1841" w:type="dxa"/>
          </w:tcPr>
          <w:p w14:paraId="6433C404">
            <w:pPr>
              <w:widowControl w:val="0"/>
              <w:numPr>
                <w:ilvl w:val="0"/>
                <w:numId w:val="0"/>
              </w:numPr>
              <w:spacing w:before="0" w:after="0" w:line="276" w:lineRule="auto"/>
              <w:jc w:val="both"/>
              <w:rPr>
                <w:rFonts w:hint="default" w:ascii="Times New Roman Regular" w:hAnsi="Times New Roman Regular" w:cs="Times New Roman Regular"/>
                <w:vertAlign w:val="baseline"/>
                <w:lang w:val="en-US" w:eastAsia="zh-CN"/>
              </w:rPr>
            </w:pPr>
            <w:r>
              <w:rPr>
                <w:rFonts w:hint="default" w:ascii="Times New Roman Regular" w:hAnsi="Times New Roman Regular" w:cs="Times New Roman Regular"/>
                <w:vertAlign w:val="baseline"/>
                <w:lang w:val="en-US" w:eastAsia="zh-CN"/>
              </w:rPr>
              <w:t>O</w:t>
            </w:r>
          </w:p>
          <w:p w14:paraId="04379965">
            <w:pPr>
              <w:widowControl w:val="0"/>
              <w:numPr>
                <w:ilvl w:val="0"/>
                <w:numId w:val="0"/>
              </w:numPr>
              <w:spacing w:before="0" w:after="0" w:line="276" w:lineRule="auto"/>
              <w:jc w:val="both"/>
              <w:rPr>
                <w:rFonts w:hint="default" w:ascii="Times New Roman Regular" w:hAnsi="Times New Roman Regular" w:cs="Times New Roman Regular"/>
                <w:vertAlign w:val="baseline"/>
                <w:lang w:val="en-US" w:eastAsia="zh-CN"/>
              </w:rPr>
            </w:pPr>
            <w:r>
              <w:rPr>
                <w:rFonts w:hint="eastAsia" w:ascii="Times New Roman Regular" w:hAnsi="Times New Roman Regular" w:cs="Times New Roman Regular"/>
                <w:vertAlign w:val="baseline"/>
                <w:lang w:val="en-US" w:eastAsia="zh-CN"/>
              </w:rPr>
              <w:t>(</w:t>
            </w:r>
            <w:r>
              <w:rPr>
                <w:rFonts w:hint="default" w:ascii="Times New Roman Regular" w:hAnsi="Times New Roman Regular" w:cs="Times New Roman Regular"/>
                <w:vertAlign w:val="baseline"/>
                <w:lang w:val="en-US" w:eastAsia="zh-CN"/>
              </w:rPr>
              <w:t>Social Physique Anxiety</w:t>
            </w:r>
            <w:r>
              <w:rPr>
                <w:rFonts w:hint="eastAsia" w:ascii="Times New Roman Regular" w:hAnsi="Times New Roman Regular" w:cs="Times New Roman Regular"/>
                <w:vertAlign w:val="baseline"/>
                <w:lang w:val="en-US" w:eastAsia="zh-CN"/>
              </w:rPr>
              <w:t>)</w:t>
            </w:r>
          </w:p>
        </w:tc>
        <w:tc>
          <w:tcPr>
            <w:tcW w:w="6565" w:type="dxa"/>
          </w:tcPr>
          <w:p w14:paraId="5BE48B44">
            <w:pPr>
              <w:widowControl w:val="0"/>
              <w:numPr>
                <w:ilvl w:val="0"/>
                <w:numId w:val="0"/>
              </w:numPr>
              <w:spacing w:before="0" w:after="0" w:line="276" w:lineRule="auto"/>
              <w:jc w:val="both"/>
              <w:rPr>
                <w:rFonts w:hint="default" w:ascii="Times New Roman Regular" w:hAnsi="Times New Roman Regular" w:cs="Times New Roman Regular"/>
                <w:vertAlign w:val="baseline"/>
                <w:lang w:val="en-US" w:eastAsia="zh-CN"/>
              </w:rPr>
            </w:pPr>
            <w:r>
              <w:rPr>
                <w:rFonts w:hint="default" w:ascii="Times New Roman Regular" w:hAnsi="Times New Roman Regular" w:eastAsia="Times New Roman" w:cs="Times New Roman Regular"/>
                <w:b w:val="0"/>
                <w:sz w:val="24"/>
                <w:szCs w:val="24"/>
              </w:rPr>
              <w:t>"social physique anxiety" OR "social physical anxiety" OR "physical social anxiety" OR "social appearance anxiety" OR "physique anxiety" OR "appearance anxiety" OR "social physique anxi*" OR "SPA"</w:t>
            </w:r>
          </w:p>
        </w:tc>
      </w:tr>
      <w:tr w14:paraId="1C4EEDBF">
        <w:tc>
          <w:tcPr>
            <w:tcW w:w="1841" w:type="dxa"/>
          </w:tcPr>
          <w:p w14:paraId="65AB5425">
            <w:pPr>
              <w:widowControl w:val="0"/>
              <w:numPr>
                <w:ilvl w:val="0"/>
                <w:numId w:val="0"/>
              </w:numPr>
              <w:spacing w:before="0" w:after="0" w:line="276" w:lineRule="auto"/>
              <w:jc w:val="both"/>
              <w:rPr>
                <w:rFonts w:hint="default" w:ascii="Times New Roman Regular" w:hAnsi="Times New Roman Regular" w:cs="Times New Roman Regular"/>
                <w:vertAlign w:val="baseline"/>
                <w:lang w:val="en-US" w:eastAsia="zh-CN"/>
              </w:rPr>
            </w:pPr>
            <w:r>
              <w:rPr>
                <w:rFonts w:hint="default" w:ascii="Times New Roman Regular" w:hAnsi="Times New Roman Regular" w:cs="Times New Roman Regular"/>
                <w:vertAlign w:val="baseline"/>
                <w:lang w:val="en-US" w:eastAsia="zh-CN"/>
              </w:rPr>
              <w:t>S</w:t>
            </w:r>
          </w:p>
        </w:tc>
        <w:tc>
          <w:tcPr>
            <w:tcW w:w="6565" w:type="dxa"/>
          </w:tcPr>
          <w:p w14:paraId="55991DE3">
            <w:pPr>
              <w:widowControl w:val="0"/>
              <w:numPr>
                <w:ilvl w:val="0"/>
                <w:numId w:val="0"/>
              </w:numPr>
              <w:spacing w:before="0" w:after="0" w:line="276" w:lineRule="auto"/>
              <w:jc w:val="both"/>
              <w:rPr>
                <w:rFonts w:hint="default" w:ascii="Times New Roman Regular" w:hAnsi="Times New Roman Regular" w:cs="Times New Roman Regular"/>
                <w:vertAlign w:val="baseline"/>
                <w:lang w:val="en-US" w:eastAsia="zh-CN"/>
              </w:rPr>
            </w:pPr>
            <w:r>
              <w:rPr>
                <w:rFonts w:hint="default" w:ascii="Times New Roman Regular" w:hAnsi="Times New Roman Regular" w:cs="Times New Roman Regular"/>
                <w:vertAlign w:val="baseline"/>
                <w:lang w:val="en-US" w:eastAsia="zh-CN"/>
              </w:rPr>
              <w:t>random* or “random* controlled trial” or RCT</w:t>
            </w:r>
          </w:p>
        </w:tc>
      </w:tr>
    </w:tbl>
    <w:p w14:paraId="779FCD91">
      <w:pPr>
        <w:numPr>
          <w:ilvl w:val="0"/>
          <w:numId w:val="0"/>
        </w:numPr>
        <w:spacing w:before="0" w:after="0" w:line="276" w:lineRule="auto"/>
        <w:rPr>
          <w:rFonts w:hint="default" w:ascii="Times New Roman Bold" w:hAnsi="Times New Roman Bold" w:cs="Times New Roman Bold"/>
          <w:b/>
          <w:bCs/>
          <w:lang w:val="en-US" w:eastAsia="zh-CN"/>
        </w:rPr>
      </w:pPr>
    </w:p>
    <w:p w14:paraId="0C0011BA">
      <w:pPr>
        <w:numPr>
          <w:ilvl w:val="0"/>
          <w:numId w:val="0"/>
        </w:numPr>
        <w:spacing w:before="0" w:after="0" w:line="276" w:lineRule="auto"/>
        <w:rPr>
          <w:rFonts w:hint="default" w:ascii="Times New Roman Bold" w:hAnsi="Times New Roman Bold" w:cs="Times New Roman Bold"/>
          <w:b/>
          <w:bCs/>
          <w:lang w:val="en-US" w:eastAsia="zh-CN"/>
        </w:rPr>
      </w:pPr>
      <w:r>
        <w:rPr>
          <w:rFonts w:hint="default" w:ascii="Times New Roman Bold" w:hAnsi="Times New Roman Bold" w:cs="Times New Roman Bold"/>
          <w:b/>
          <w:bCs/>
          <w:lang w:val="en-US" w:eastAsia="zh-CN"/>
        </w:rPr>
        <w:t>Table 2. 干预类型界定</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78C95AB">
        <w:tc>
          <w:tcPr>
            <w:tcW w:w="4261" w:type="dxa"/>
          </w:tcPr>
          <w:p w14:paraId="3365CBEA">
            <w:pPr>
              <w:widowControl w:val="0"/>
              <w:numPr>
                <w:ilvl w:val="0"/>
                <w:numId w:val="0"/>
              </w:numPr>
              <w:spacing w:before="0" w:after="0" w:line="276" w:lineRule="auto"/>
              <w:jc w:val="both"/>
              <w:rPr>
                <w:rFonts w:hint="default"/>
                <w:vertAlign w:val="baseline"/>
                <w:lang w:val="en-US" w:eastAsia="zh-CN"/>
              </w:rPr>
            </w:pPr>
            <w:r>
              <w:rPr>
                <w:rFonts w:hint="eastAsia"/>
                <w:vertAlign w:val="baseline"/>
                <w:lang w:val="en-US" w:eastAsia="zh-CN"/>
              </w:rPr>
              <w:t>干预类型</w:t>
            </w:r>
          </w:p>
        </w:tc>
        <w:tc>
          <w:tcPr>
            <w:tcW w:w="4261" w:type="dxa"/>
          </w:tcPr>
          <w:p w14:paraId="41D0870E">
            <w:pPr>
              <w:widowControl w:val="0"/>
              <w:numPr>
                <w:ilvl w:val="0"/>
                <w:numId w:val="0"/>
              </w:numPr>
              <w:spacing w:before="0" w:after="0" w:line="276" w:lineRule="auto"/>
              <w:jc w:val="both"/>
              <w:rPr>
                <w:rFonts w:hint="default"/>
                <w:vertAlign w:val="baseline"/>
                <w:lang w:val="en-US" w:eastAsia="zh-CN"/>
              </w:rPr>
            </w:pPr>
            <w:r>
              <w:rPr>
                <w:rFonts w:hint="eastAsia"/>
                <w:vertAlign w:val="baseline"/>
                <w:lang w:val="en-US" w:eastAsia="zh-CN"/>
              </w:rPr>
              <w:t>定义</w:t>
            </w:r>
          </w:p>
        </w:tc>
      </w:tr>
      <w:tr w14:paraId="1776AD7B">
        <w:tc>
          <w:tcPr>
            <w:tcW w:w="4261" w:type="dxa"/>
          </w:tcPr>
          <w:p w14:paraId="0A8E8A67">
            <w:pPr>
              <w:widowControl w:val="0"/>
              <w:numPr>
                <w:ilvl w:val="0"/>
                <w:numId w:val="0"/>
              </w:numPr>
              <w:spacing w:before="0" w:after="0" w:line="276" w:lineRule="auto"/>
              <w:jc w:val="both"/>
              <w:rPr>
                <w:rFonts w:hint="default"/>
                <w:vertAlign w:val="baseline"/>
                <w:lang w:val="en-US" w:eastAsia="zh-CN"/>
              </w:rPr>
            </w:pPr>
            <w:r>
              <w:rPr>
                <w:rFonts w:hint="eastAsia"/>
                <w:vertAlign w:val="baseline"/>
                <w:lang w:val="en-US" w:eastAsia="zh-CN"/>
              </w:rPr>
              <w:t>有氧运动（AE）</w:t>
            </w:r>
          </w:p>
        </w:tc>
        <w:tc>
          <w:tcPr>
            <w:tcW w:w="4261" w:type="dxa"/>
          </w:tcPr>
          <w:p w14:paraId="539C9A75">
            <w:pPr>
              <w:widowControl w:val="0"/>
              <w:numPr>
                <w:ilvl w:val="0"/>
                <w:numId w:val="0"/>
              </w:numPr>
              <w:spacing w:before="0" w:after="0" w:line="276" w:lineRule="auto"/>
              <w:jc w:val="both"/>
              <w:rPr>
                <w:rFonts w:hint="default"/>
                <w:vertAlign w:val="baseline"/>
                <w:lang w:val="en-US" w:eastAsia="zh-CN"/>
              </w:rPr>
            </w:pPr>
            <w:r>
              <w:rPr>
                <w:rFonts w:hint="eastAsia"/>
                <w:vertAlign w:val="baseline"/>
                <w:lang w:val="en-US" w:eastAsia="zh-CN"/>
              </w:rPr>
              <w:t>旨在增强心肺功能的活动，包括快走、跑步和骑自行车</w:t>
            </w:r>
          </w:p>
        </w:tc>
      </w:tr>
      <w:tr w14:paraId="70050FDE">
        <w:tc>
          <w:tcPr>
            <w:tcW w:w="4261" w:type="dxa"/>
          </w:tcPr>
          <w:p w14:paraId="121A74D4">
            <w:pPr>
              <w:widowControl w:val="0"/>
              <w:numPr>
                <w:ilvl w:val="0"/>
                <w:numId w:val="0"/>
              </w:numPr>
              <w:spacing w:before="0" w:after="0" w:line="276" w:lineRule="auto"/>
              <w:jc w:val="both"/>
              <w:rPr>
                <w:rFonts w:hint="default"/>
                <w:vertAlign w:val="baseline"/>
                <w:lang w:val="en-US" w:eastAsia="zh-CN"/>
              </w:rPr>
            </w:pPr>
            <w:r>
              <w:rPr>
                <w:rFonts w:hint="eastAsia"/>
                <w:vertAlign w:val="baseline"/>
                <w:lang w:val="en-US" w:eastAsia="zh-CN"/>
              </w:rPr>
              <w:t>体感游戏</w:t>
            </w:r>
          </w:p>
        </w:tc>
        <w:tc>
          <w:tcPr>
            <w:tcW w:w="4261" w:type="dxa"/>
          </w:tcPr>
          <w:p w14:paraId="54D16477">
            <w:pPr>
              <w:widowControl w:val="0"/>
              <w:numPr>
                <w:ilvl w:val="0"/>
                <w:numId w:val="0"/>
              </w:numPr>
              <w:spacing w:before="0" w:after="0" w:line="276" w:lineRule="auto"/>
              <w:jc w:val="both"/>
              <w:rPr>
                <w:rFonts w:hint="default"/>
                <w:vertAlign w:val="baseline"/>
                <w:lang w:val="en-US" w:eastAsia="zh-CN"/>
              </w:rPr>
            </w:pPr>
            <w:r>
              <w:rPr>
                <w:rFonts w:hint="eastAsia"/>
                <w:vertAlign w:val="baseline"/>
                <w:lang w:val="en-US" w:eastAsia="zh-CN"/>
              </w:rPr>
              <w:t>体感游戏是一种将体育活动和电子游戏相结合的娱乐形式，玩家在玩主机游戏（例如Nintendo Wii和Xbox Kinect）</w:t>
            </w:r>
          </w:p>
        </w:tc>
      </w:tr>
      <w:tr w14:paraId="3DA3BB56">
        <w:tc>
          <w:tcPr>
            <w:tcW w:w="4261" w:type="dxa"/>
          </w:tcPr>
          <w:p w14:paraId="14EC752C">
            <w:pPr>
              <w:widowControl w:val="0"/>
              <w:numPr>
                <w:ilvl w:val="0"/>
                <w:numId w:val="0"/>
              </w:numPr>
              <w:spacing w:before="0" w:after="0" w:line="276" w:lineRule="auto"/>
              <w:jc w:val="both"/>
              <w:rPr>
                <w:rFonts w:hint="default"/>
                <w:vertAlign w:val="baseline"/>
                <w:lang w:val="en-US" w:eastAsia="zh-CN"/>
              </w:rPr>
            </w:pPr>
            <w:r>
              <w:rPr>
                <w:rFonts w:hint="eastAsia"/>
                <w:vertAlign w:val="baseline"/>
                <w:lang w:val="en-US" w:eastAsia="zh-CN"/>
              </w:rPr>
              <w:t>身心锻炼（MBE）</w:t>
            </w:r>
          </w:p>
        </w:tc>
        <w:tc>
          <w:tcPr>
            <w:tcW w:w="4261" w:type="dxa"/>
          </w:tcPr>
          <w:p w14:paraId="250B24B4">
            <w:pPr>
              <w:widowControl w:val="0"/>
              <w:numPr>
                <w:ilvl w:val="0"/>
                <w:numId w:val="0"/>
              </w:numPr>
              <w:spacing w:before="0" w:after="0" w:line="276" w:lineRule="auto"/>
              <w:jc w:val="both"/>
              <w:rPr>
                <w:rFonts w:hint="default"/>
                <w:vertAlign w:val="baseline"/>
                <w:lang w:val="en-US" w:eastAsia="zh-CN"/>
              </w:rPr>
            </w:pPr>
            <w:r>
              <w:rPr>
                <w:rFonts w:hint="eastAsia"/>
                <w:vertAlign w:val="baseline"/>
                <w:lang w:val="en-US" w:eastAsia="zh-CN"/>
              </w:rPr>
              <w:t>以控制身体运动、全身伸展、呼吸技巧和冥想成分为特征的运动，如瑜伽、气功、太极拳以及以身体为导向或以运动为基础的身心干预</w:t>
            </w:r>
          </w:p>
        </w:tc>
      </w:tr>
      <w:tr w14:paraId="0FF12794">
        <w:tc>
          <w:tcPr>
            <w:tcW w:w="4261" w:type="dxa"/>
          </w:tcPr>
          <w:p w14:paraId="12BBC254">
            <w:pPr>
              <w:widowControl w:val="0"/>
              <w:numPr>
                <w:ilvl w:val="0"/>
                <w:numId w:val="0"/>
              </w:numPr>
              <w:spacing w:before="0" w:after="0" w:line="276" w:lineRule="auto"/>
              <w:jc w:val="both"/>
              <w:rPr>
                <w:rFonts w:hint="default"/>
                <w:vertAlign w:val="baseline"/>
                <w:lang w:val="en-US" w:eastAsia="zh-CN"/>
              </w:rPr>
            </w:pPr>
            <w:r>
              <w:rPr>
                <w:rFonts w:hint="eastAsia"/>
                <w:vertAlign w:val="baseline"/>
                <w:lang w:val="en-US" w:eastAsia="zh-CN"/>
              </w:rPr>
              <w:t>多组分身体活动（MPA）</w:t>
            </w:r>
          </w:p>
        </w:tc>
        <w:tc>
          <w:tcPr>
            <w:tcW w:w="4261" w:type="dxa"/>
          </w:tcPr>
          <w:p w14:paraId="7B53BE16">
            <w:pPr>
              <w:widowControl w:val="0"/>
              <w:numPr>
                <w:ilvl w:val="0"/>
                <w:numId w:val="0"/>
              </w:numPr>
              <w:spacing w:before="0" w:after="0" w:line="276" w:lineRule="auto"/>
              <w:jc w:val="both"/>
              <w:rPr>
                <w:rFonts w:hint="default"/>
                <w:vertAlign w:val="baseline"/>
                <w:lang w:val="en-US" w:eastAsia="zh-CN"/>
              </w:rPr>
            </w:pPr>
            <w:r>
              <w:rPr>
                <w:rFonts w:hint="eastAsia"/>
                <w:vertAlign w:val="baseline"/>
                <w:lang w:val="en-US" w:eastAsia="zh-CN"/>
              </w:rPr>
              <w:t>多种体育活动的组合，例如结合了有氧运动和协调性体育活动的球拍运动</w:t>
            </w:r>
          </w:p>
        </w:tc>
      </w:tr>
    </w:tbl>
    <w:p w14:paraId="6E9EA888">
      <w:pPr>
        <w:rPr>
          <w:rFonts w:hint="eastAsia"/>
          <w:lang w:val="en-US" w:eastAsia="zh-CN"/>
        </w:rPr>
      </w:pPr>
      <w:r>
        <w:rPr>
          <w:rFonts w:hint="eastAsia"/>
          <w:lang w:val="en-US" w:eastAsia="zh-CN"/>
        </w:rPr>
        <w:t>备注：Tao et al., 2025</w:t>
      </w:r>
    </w:p>
    <w:p w14:paraId="1510798A">
      <w:pPr>
        <w:rPr>
          <w:rFonts w:hint="eastAsia"/>
          <w:lang w:val="en-US" w:eastAsia="zh-CN"/>
        </w:rPr>
      </w:pPr>
    </w:p>
    <w:p w14:paraId="7D75B017">
      <w:pPr>
        <w:numPr>
          <w:ilvl w:val="0"/>
          <w:numId w:val="0"/>
        </w:numPr>
        <w:spacing w:before="0" w:after="0" w:line="276" w:lineRule="auto"/>
        <w:rPr>
          <w:rFonts w:hint="default"/>
          <w:lang w:val="en-US" w:eastAsia="zh-CN"/>
        </w:rPr>
      </w:pPr>
      <w:r>
        <w:rPr>
          <w:rFonts w:hint="default" w:ascii="Times New Roman Bold" w:hAnsi="Times New Roman Bold" w:cs="Times New Roman Bold"/>
          <w:b/>
          <w:bCs/>
          <w:lang w:val="en-US" w:eastAsia="zh-CN"/>
        </w:rPr>
        <w:t>2.2 纳入和排除标准</w:t>
      </w:r>
    </w:p>
    <w:p w14:paraId="14208391">
      <w:pPr>
        <w:numPr>
          <w:ilvl w:val="0"/>
          <w:numId w:val="0"/>
        </w:numPr>
        <w:spacing w:before="0" w:after="0" w:line="276" w:lineRule="auto"/>
        <w:rPr>
          <w:rFonts w:hint="default"/>
          <w:lang w:val="en-US" w:eastAsia="zh-CN"/>
        </w:rPr>
      </w:pPr>
      <w:r>
        <w:rPr>
          <w:rFonts w:hint="default"/>
          <w:lang w:val="en-US" w:eastAsia="zh-CN"/>
        </w:rPr>
        <w:t>根据人群、干预、比较、结果和研究设计（PICOS）框架，符合以下条件的研究将被纳入：（1）评估了一项以体育活动为核心积极组成部分的干预措施；（2）使用社交体型焦虑量表（SPAS）或其他明确评估社交体型焦虑（SPA）的测量工具，将社交体型焦虑（SPA）作为结果指标；（3）提供了足够的信息以识别体育活动干预措施和SPA结果指标。在筛选阶段，对参与者的年龄、性别、研究环境、干预持续时间或研究设计均无限制。</w:t>
      </w:r>
    </w:p>
    <w:p w14:paraId="463254A5">
      <w:pPr>
        <w:numPr>
          <w:ilvl w:val="0"/>
          <w:numId w:val="0"/>
        </w:numPr>
        <w:spacing w:before="0" w:after="0" w:line="276" w:lineRule="auto"/>
        <w:rPr>
          <w:rFonts w:hint="default"/>
          <w:lang w:val="en-US" w:eastAsia="zh-CN"/>
        </w:rPr>
      </w:pPr>
      <w:r>
        <w:rPr>
          <w:rFonts w:hint="default"/>
          <w:lang w:val="en-US" w:eastAsia="zh-CN"/>
        </w:rPr>
        <w:t>符合以下条件的研究将被排除：（1）仅考察体育活动与SPA之间关联的观察性研究或横断面研究，而未进行干预；（2）未实施体育活动干预，或将体育活动与其他干预措施相结合，导致无法识别体育活动的独立效应；（3）仅报告了相关结果指标，例如一般焦虑、身体意象、身体不满或身体自尊，而没有明确的SPA结果指标。或者 (4) 是评论、系统评论、荟萃分析、方案、社论、信件、病例报告或会议摘要，但没有可用的干预数据。</w:t>
      </w:r>
    </w:p>
    <w:p w14:paraId="1A873530">
      <w:pPr>
        <w:numPr>
          <w:ilvl w:val="0"/>
          <w:numId w:val="0"/>
        </w:numPr>
        <w:spacing w:before="0" w:after="0" w:line="276" w:lineRule="auto"/>
        <w:rPr>
          <w:rFonts w:hint="default"/>
          <w:lang w:val="en-US" w:eastAsia="zh-CN"/>
        </w:rPr>
      </w:pPr>
    </w:p>
    <w:p w14:paraId="6F53E5F1">
      <w:pPr>
        <w:numPr>
          <w:ilvl w:val="0"/>
          <w:numId w:val="0"/>
        </w:numPr>
        <w:spacing w:before="0" w:after="0" w:line="276" w:lineRule="auto"/>
        <w:rPr>
          <w:rFonts w:hint="default"/>
          <w:lang w:val="en-US" w:eastAsia="zh-CN"/>
        </w:rPr>
      </w:pPr>
      <w:r>
        <w:rPr>
          <w:rFonts w:hint="eastAsia" w:ascii="Times New Roman Bold" w:hAnsi="Times New Roman Bold" w:cs="Times New Roman Bold"/>
          <w:b/>
          <w:bCs/>
          <w:lang w:val="en-US" w:eastAsia="zh-CN"/>
        </w:rPr>
        <w:t xml:space="preserve">2.3 </w:t>
      </w:r>
      <w:r>
        <w:rPr>
          <w:rFonts w:hint="default" w:ascii="Times New Roman Bold" w:hAnsi="Times New Roman Bold" w:cs="Times New Roman Bold"/>
          <w:b/>
          <w:bCs/>
          <w:lang w:val="en-US" w:eastAsia="zh-CN"/>
        </w:rPr>
        <w:t>数据提取</w:t>
      </w:r>
    </w:p>
    <w:p w14:paraId="735F1525">
      <w:pPr>
        <w:numPr>
          <w:ilvl w:val="0"/>
          <w:numId w:val="0"/>
        </w:numPr>
        <w:spacing w:before="0" w:after="0" w:line="276" w:lineRule="auto"/>
        <w:rPr>
          <w:rFonts w:hint="default"/>
          <w:lang w:val="en-US" w:eastAsia="zh-CN"/>
        </w:rPr>
      </w:pPr>
      <w:r>
        <w:rPr>
          <w:rFonts w:hint="default"/>
          <w:lang w:val="en-US" w:eastAsia="zh-CN"/>
        </w:rPr>
        <w:t>两位审阅者将使用标准化的数据提取表独立提取数据。提取的信息包括研究特征（作者、发表年份、国家/地区和研究设计）、参与者特征（样本量、年龄、性别和其他相关人群特征）以及干预措施特征（体育活动类型、具体活动、干预持续时间、频率、每次持续时间、强度以及适用的对照组）。根据每项研究中描述的干预措施特征，体育活动干预措施将首先被分为四个预先设定的类别：有氧运动 (AE)、多组分体育活动 (MPA)、身心运动 (MBE) 和体感游戏。计划的调节变量分析所需的信息，包括相关的参与者、干预措施和研究特征，也将在报告时提取。对于每个 SPA 结果，将记录测量工具、评估时间点、样本量、均值、标准差以及计算效应量所需的其他统计数据。审阅者之间的分歧将通过讨论解决，必要时咨询第三位审阅者。如果相关信息或结果数据缺失或不清楚，我们将联系通讯作者以获取澄清或补充数据。</w:t>
      </w:r>
    </w:p>
    <w:p w14:paraId="719A0A36">
      <w:pPr>
        <w:numPr>
          <w:ilvl w:val="0"/>
          <w:numId w:val="0"/>
        </w:numPr>
        <w:spacing w:before="0" w:after="0" w:line="276" w:lineRule="auto"/>
        <w:rPr>
          <w:rFonts w:hint="default"/>
          <w:lang w:val="en-US" w:eastAsia="zh-CN"/>
        </w:rPr>
      </w:pPr>
    </w:p>
    <w:p w14:paraId="0AC7A111">
      <w:pPr>
        <w:numPr>
          <w:ilvl w:val="0"/>
          <w:numId w:val="0"/>
        </w:numPr>
        <w:spacing w:before="0" w:after="0" w:line="276" w:lineRule="auto"/>
        <w:rPr>
          <w:rFonts w:hint="default"/>
          <w:lang w:val="en-US" w:eastAsia="zh-CN"/>
        </w:rPr>
      </w:pPr>
      <w:r>
        <w:rPr>
          <w:rFonts w:hint="default" w:ascii="Times New Roman Bold" w:hAnsi="Times New Roman Bold" w:cs="Times New Roman Bold"/>
          <w:b/>
          <w:bCs/>
          <w:lang w:val="en-US" w:eastAsia="zh-CN"/>
        </w:rPr>
        <w:t>2.4 结果</w:t>
      </w:r>
    </w:p>
    <w:p w14:paraId="37497391">
      <w:pPr>
        <w:numPr>
          <w:ilvl w:val="0"/>
          <w:numId w:val="0"/>
        </w:numPr>
        <w:spacing w:before="0" w:after="0" w:line="276" w:lineRule="auto"/>
        <w:rPr>
          <w:rFonts w:hint="default"/>
          <w:lang w:val="en-US" w:eastAsia="zh-CN"/>
        </w:rPr>
      </w:pPr>
      <w:r>
        <w:rPr>
          <w:rFonts w:hint="default"/>
          <w:lang w:val="en-US" w:eastAsia="zh-CN"/>
        </w:rPr>
        <w:t>主要结果指标为社交体型焦虑（SPA），采用社交体型焦虑量表（SPAS）或其他专门用于评估SPA的量表进行评估。报告诸如一般焦虑、身体意象、身体不满或身体自尊等更广泛概念的研究，除非有明确的SPA结果指标，否则将不被视为报告SPA。所有符合条件的SPA评估时间点（如有报告）都将被提取。在确定最合适的定量综合方法之前，将首先考察纳入研究中结果指标和评估时间点的分布情况。</w:t>
      </w:r>
    </w:p>
    <w:p w14:paraId="1FDA74C2">
      <w:pPr>
        <w:numPr>
          <w:ilvl w:val="0"/>
          <w:numId w:val="0"/>
        </w:numPr>
        <w:spacing w:before="0" w:after="0" w:line="276" w:lineRule="auto"/>
        <w:rPr>
          <w:rFonts w:hint="default"/>
          <w:lang w:val="en-US" w:eastAsia="zh-CN"/>
        </w:rPr>
      </w:pPr>
    </w:p>
    <w:p w14:paraId="5FA08D50">
      <w:pPr>
        <w:numPr>
          <w:ilvl w:val="0"/>
          <w:numId w:val="0"/>
        </w:numPr>
        <w:spacing w:before="0" w:after="0" w:line="276" w:lineRule="auto"/>
        <w:rPr>
          <w:rFonts w:hint="default"/>
          <w:lang w:val="en-US" w:eastAsia="zh-CN"/>
        </w:rPr>
      </w:pPr>
      <w:r>
        <w:rPr>
          <w:rFonts w:hint="default" w:ascii="Times New Roman Bold" w:hAnsi="Times New Roman Bold" w:cs="Times New Roman Bold"/>
          <w:b/>
          <w:bCs/>
          <w:lang w:val="en-US" w:eastAsia="zh-CN"/>
        </w:rPr>
        <w:t>2.5 统计分析</w:t>
      </w:r>
    </w:p>
    <w:p w14:paraId="11FE3D66">
      <w:pPr>
        <w:numPr>
          <w:ilvl w:val="0"/>
          <w:numId w:val="0"/>
        </w:numPr>
        <w:spacing w:before="0" w:after="0" w:line="276" w:lineRule="auto"/>
        <w:rPr>
          <w:rFonts w:hint="default"/>
          <w:lang w:val="en-US" w:eastAsia="zh-CN"/>
        </w:rPr>
      </w:pPr>
      <w:r>
        <w:rPr>
          <w:rFonts w:hint="default"/>
          <w:lang w:val="en-US" w:eastAsia="zh-CN"/>
        </w:rPr>
        <w:t>主要效应指标为标准化均值差，以Hedges' g表示，以便在校正小样本偏差的同时，综合不同SPA指标的效应估计值（Hedges &amp; Olkin, 1985）。效应方向将采用统一编码，负值表示体育活动干预后SPA降低。在有足够可比数据的情况下，将使用随机效应模型计算合并效应估计值和95%置信区间，因为干预效果预计会因人群、体育活动干预措施、环境和研究特征而异。研究间方差（τ²）将使用限制性最大似然法（REML）进行估计，统计异质性将使用τ²、I²和Cochran's Q进行评估。当有足够研究且其解释有意义时，还将报告95%预测区间（Deeks et al., 2024）。</w:t>
      </w:r>
    </w:p>
    <w:p w14:paraId="7F96D782">
      <w:pPr>
        <w:numPr>
          <w:ilvl w:val="0"/>
          <w:numId w:val="0"/>
        </w:numPr>
        <w:spacing w:before="0" w:after="0" w:line="276" w:lineRule="auto"/>
        <w:rPr>
          <w:rFonts w:hint="default"/>
          <w:lang w:val="en-US" w:eastAsia="zh-CN"/>
        </w:rPr>
      </w:pPr>
      <w:r>
        <w:rPr>
          <w:rFonts w:hint="default"/>
          <w:lang w:val="en-US" w:eastAsia="zh-CN"/>
        </w:rPr>
        <w:t>为解答研究问题1（RQ1），首先将对提供足够可比数据的研究进行定量综合，以评估体育活动干预对SPA的总体影响。为解答研究问题2（RQ2），将进行亚组分析，比较预先设定的四类体育活动干预措施的效果估计值：有氧运动、多组分体育活动、身心运动和体感游戏。这些比较仅在相关干预类别中存在足够数量的独立研究时才会进行。为解答研究问题3（RQ3），在现有证据支持的情况下，将进行探索性亚组分析或元回归分析，以检验参与者、干预措施或研究特征是否能解释效果估计值的差异。潜在调节变量的选择将基于其理论相关性、在纳入研究中的可用性以及提取数据的充分变异性，而非预先假定其可分析性。在适当情况下，将进行敏感性分析，以检验研究结果的稳健性，包括单个研究的影响、研究设计和偏倚风险。如果综合分析中包含足够数量的独立研究，我们将采用适当的图表和统计方法来检验小型研究效应和潜在的发表偏倚。如果临床或方法学上的显著异质性阻碍了有意义的定量合并，我们将对相关研究结果进行叙述性综合，而不是将其合并为单一的合并估计值。</w:t>
      </w:r>
    </w:p>
    <w:p w14:paraId="14CFD58F">
      <w:pPr>
        <w:numPr>
          <w:ilvl w:val="0"/>
          <w:numId w:val="0"/>
        </w:numPr>
        <w:spacing w:before="0" w:after="0" w:line="276" w:lineRule="auto"/>
        <w:rPr>
          <w:rFonts w:hint="default"/>
          <w:lang w:val="en-US" w:eastAsia="zh-CN"/>
        </w:rPr>
      </w:pPr>
    </w:p>
    <w:p w14:paraId="3E17906D">
      <w:pPr>
        <w:numPr>
          <w:ilvl w:val="0"/>
          <w:numId w:val="0"/>
        </w:numPr>
        <w:spacing w:before="0" w:after="0" w:line="276" w:lineRule="auto"/>
        <w:rPr>
          <w:rFonts w:hint="default" w:ascii="Times New Roman Bold" w:hAnsi="Times New Roman Bold" w:cs="Times New Roman Bold"/>
          <w:b/>
          <w:bCs/>
          <w:lang w:val="en-US" w:eastAsia="zh-CN"/>
        </w:rPr>
      </w:pPr>
      <w:r>
        <w:rPr>
          <w:rFonts w:hint="default" w:ascii="Times New Roman Bold" w:hAnsi="Times New Roman Bold" w:cs="Times New Roman Bold"/>
          <w:b/>
          <w:bCs/>
          <w:lang w:val="en-US" w:eastAsia="zh-CN"/>
        </w:rPr>
        <w:t>2.6 预期研究价值</w:t>
      </w:r>
    </w:p>
    <w:p w14:paraId="71EDDF27">
      <w:pPr>
        <w:numPr>
          <w:ilvl w:val="0"/>
          <w:numId w:val="0"/>
        </w:numPr>
        <w:spacing w:before="0" w:after="0" w:line="276" w:lineRule="auto"/>
        <w:rPr>
          <w:rFonts w:hint="default"/>
          <w:lang w:val="en-US" w:eastAsia="zh-CN"/>
        </w:rPr>
      </w:pPr>
      <w:r>
        <w:rPr>
          <w:rFonts w:hint="default"/>
          <w:lang w:val="en-US" w:eastAsia="zh-CN"/>
        </w:rPr>
        <w:t>这篇综述将集中综合身体活动干预措施对社交体质焦虑 (SPA) 的影响，而不会将 SPA 与更广泛的身体形象结果混为一谈。通过综合总体干预效果并比较四种预先指定的身体活动干预类型（有氧运动、多成分身体活动、身心锻炼和运动游戏），该综述将阐明不同身体活动方法的干预效果是否不同。它还将探讨在有足够证据的情况下，参与者、干预措施和研究特征是否会导致干预效果的变化。这些发现可能会加强当前的证据基础，确定减少 SPA 的有前途的身体活动方法，并为未来针对社交体质焦虑的身体活动干预措施的发展提供信息。</w:t>
      </w:r>
    </w:p>
    <w:p w14:paraId="47D4B041">
      <w:pPr>
        <w:numPr>
          <w:ilvl w:val="0"/>
          <w:numId w:val="0"/>
        </w:numPr>
        <w:spacing w:before="0" w:after="0" w:line="276" w:lineRule="auto"/>
        <w:rPr>
          <w:rFonts w:hint="default"/>
          <w:lang w:val="en-US" w:eastAsia="zh-CN"/>
        </w:rPr>
      </w:pPr>
    </w:p>
    <w:p w14:paraId="6F11EBCD">
      <w:pPr>
        <w:rPr>
          <w:rFonts w:hint="eastAsia"/>
          <w:lang w:val="en-US" w:eastAsia="zh-CN"/>
        </w:rPr>
      </w:pPr>
    </w:p>
    <w:p w14:paraId="5325C373">
      <w:pPr>
        <w:pStyle w:val="2"/>
        <w:keepNext/>
        <w:keepLines/>
        <w:spacing w:line="480" w:lineRule="auto"/>
        <w:jc w:val="center"/>
        <w:rPr>
          <w:rFonts w:ascii="Times New Roman Bold" w:hAnsi="Times New Roman Bold" w:cs="Times New Roman Bold"/>
          <w:szCs w:val="24"/>
        </w:rPr>
      </w:pPr>
      <w:r>
        <w:rPr>
          <w:rFonts w:ascii="Times New Roman Bold" w:hAnsi="Times New Roman Bold" w:eastAsia="Times New Roman" w:cs="Times New Roman Bold"/>
          <w:b/>
          <w:sz w:val="24"/>
          <w:szCs w:val="24"/>
        </w:rPr>
        <w:t>References</w:t>
      </w:r>
    </w:p>
    <w:p w14:paraId="3ED90767">
      <w:pPr>
        <w:keepLines/>
        <w:spacing w:after="0" w:line="480" w:lineRule="auto"/>
        <w:ind w:left="720" w:hanging="720"/>
        <w:rPr>
          <w:rFonts w:ascii="Times New Roman Regular" w:hAnsi="Times New Roman Regular" w:eastAsia="Times New Roman" w:cs="Times New Roman Regular"/>
          <w:i w:val="0"/>
          <w:sz w:val="24"/>
          <w:szCs w:val="24"/>
        </w:rPr>
      </w:pPr>
      <w:r>
        <w:rPr>
          <w:rFonts w:hint="eastAsia" w:eastAsia="宋体"/>
          <w:lang w:val="en-US" w:eastAsia="zh-CN"/>
        </w:rPr>
        <w:t xml:space="preserve">Appelbaum, M., Cooper, H., Kline, R. B., Mayo-Wilson, E., Nezu, A. M., &amp; Rao, S. M. (2018). Journal article reporting standards for quantitative research in psychology: The APA Publications and Communications Board task force report. </w:t>
      </w:r>
      <w:r>
        <w:rPr>
          <w:rFonts w:hint="default" w:ascii="Times New Roman Italic" w:hAnsi="Times New Roman Italic" w:eastAsia="宋体" w:cs="Times New Roman Italic"/>
          <w:i/>
          <w:iCs/>
          <w:lang w:val="en-US" w:eastAsia="zh-CN"/>
        </w:rPr>
        <w:t>American Psychologist, 73</w:t>
      </w:r>
      <w:r>
        <w:rPr>
          <w:rFonts w:hint="eastAsia" w:eastAsia="宋体"/>
          <w:lang w:val="en-US" w:eastAsia="zh-CN"/>
        </w:rPr>
        <w:t xml:space="preserve">(1), 3. </w:t>
      </w:r>
      <w:r>
        <w:rPr>
          <w:rFonts w:hint="eastAsia" w:eastAsia="宋体"/>
          <w:lang w:val="en-US" w:eastAsia="zh-CN"/>
        </w:rPr>
        <w:fldChar w:fldCharType="begin"/>
      </w:r>
      <w:r>
        <w:rPr>
          <w:rFonts w:hint="eastAsia" w:eastAsia="宋体"/>
          <w:lang w:val="en-US" w:eastAsia="zh-CN"/>
        </w:rPr>
        <w:instrText xml:space="preserve"> HYPERLINK "https://psycnet.apa.org/doi/10.1037/amp0000389" </w:instrText>
      </w:r>
      <w:r>
        <w:rPr>
          <w:rFonts w:hint="eastAsia" w:eastAsia="宋体"/>
          <w:lang w:val="en-US" w:eastAsia="zh-CN"/>
        </w:rPr>
        <w:fldChar w:fldCharType="separate"/>
      </w:r>
      <w:r>
        <w:rPr>
          <w:rStyle w:val="7"/>
          <w:rFonts w:hint="eastAsia" w:eastAsia="宋体"/>
          <w:lang w:val="en-US" w:eastAsia="zh-CN"/>
        </w:rPr>
        <w:t>https://psycnet.apa.org/doi/10.1037/amp0000389</w:t>
      </w:r>
      <w:r>
        <w:rPr>
          <w:rFonts w:hint="eastAsia" w:eastAsia="宋体"/>
          <w:lang w:val="en-US" w:eastAsia="zh-CN"/>
        </w:rPr>
        <w:fldChar w:fldCharType="end"/>
      </w:r>
    </w:p>
    <w:p w14:paraId="77E659A1">
      <w:pPr>
        <w:keepLines/>
        <w:spacing w:after="0" w:line="480" w:lineRule="auto"/>
        <w:ind w:left="720" w:hanging="720"/>
        <w:rPr>
          <w:rFonts w:hint="eastAsia"/>
          <w:lang w:val="en-US" w:eastAsia="zh-CN"/>
        </w:rPr>
      </w:pPr>
      <w:r>
        <w:rPr>
          <w:rFonts w:ascii="Times New Roman Regular" w:hAnsi="Times New Roman Regular" w:eastAsia="Times New Roman" w:cs="Times New Roman Regular"/>
          <w:i w:val="0"/>
          <w:sz w:val="24"/>
          <w:szCs w:val="24"/>
        </w:rPr>
        <w:t xml:space="preserve">Deeks, J. J., Higgins, J. P. T., Altman, D. G., McKenzie, J. E., &amp; Veroniki, A. A. (2024). Chapter 10: Analysing data and undertaking meta-analyses. In J. P. T. Higgins, J. Thomas, J. Chandler, M. Cumpston, T. Li, M. J. Page, et al. (Eds.), </w:t>
      </w:r>
      <w:r>
        <w:rPr>
          <w:rFonts w:ascii="Times New Roman Regular" w:hAnsi="Times New Roman Regular" w:eastAsia="Times New Roman" w:cs="Times New Roman Regular"/>
          <w:i/>
          <w:iCs w:val="0"/>
          <w:sz w:val="24"/>
          <w:szCs w:val="24"/>
        </w:rPr>
        <w:t>C</w:t>
      </w:r>
      <w:r>
        <w:rPr>
          <w:rFonts w:ascii="Times New Roman Italic" w:hAnsi="Times New Roman Italic" w:eastAsia="Times New Roman" w:cs="Times New Roman Italic"/>
          <w:i/>
          <w:iCs w:val="0"/>
          <w:sz w:val="24"/>
          <w:szCs w:val="24"/>
        </w:rPr>
        <w:t>ochrane Handbook for Systematic Reviews of Interventions</w:t>
      </w:r>
      <w:r>
        <w:rPr>
          <w:rFonts w:ascii="Times New Roman Regular" w:hAnsi="Times New Roman Regular" w:eastAsia="Times New Roman" w:cs="Times New Roman Regular"/>
          <w:i w:val="0"/>
          <w:sz w:val="24"/>
          <w:szCs w:val="24"/>
        </w:rPr>
        <w:t xml:space="preserve"> (Version 6.5). Cochrane.</w:t>
      </w:r>
      <w:r>
        <w:rPr>
          <w:rFonts w:hint="eastAsia" w:ascii="Times New Roman Regular" w:hAnsi="Times New Roman Regular" w:eastAsia="宋体" w:cs="Times New Roman Regular"/>
          <w:i w:val="0"/>
          <w:sz w:val="24"/>
          <w:szCs w:val="24"/>
          <w:lang w:val="en-US" w:eastAsia="zh-CN"/>
        </w:rPr>
        <w:t xml:space="preserve"> </w:t>
      </w:r>
      <w:r>
        <w:rPr>
          <w:rFonts w:hint="eastAsia"/>
        </w:rPr>
        <w:fldChar w:fldCharType="begin"/>
      </w:r>
      <w:r>
        <w:rPr>
          <w:rFonts w:hint="eastAsia"/>
        </w:rPr>
        <w:instrText xml:space="preserve"> HYPERLINK "https://www.cochrane.org/authors/handbooks-and-manuals/handbook/current/chapter-10" </w:instrText>
      </w:r>
      <w:r>
        <w:rPr>
          <w:rFonts w:hint="eastAsia"/>
        </w:rPr>
        <w:fldChar w:fldCharType="separate"/>
      </w:r>
      <w:r>
        <w:rPr>
          <w:rStyle w:val="7"/>
          <w:rFonts w:hint="eastAsia"/>
        </w:rPr>
        <w:t>https://www.cochrane.org/authors/handbooks-and-manuals/handbook/current/chapter-10</w:t>
      </w:r>
      <w:r>
        <w:rPr>
          <w:rFonts w:hint="eastAsia"/>
        </w:rPr>
        <w:fldChar w:fldCharType="end"/>
      </w:r>
    </w:p>
    <w:p w14:paraId="18C967DD">
      <w:pPr>
        <w:keepLines/>
        <w:spacing w:after="0" w:line="480" w:lineRule="auto"/>
        <w:ind w:left="720" w:hanging="720"/>
        <w:rPr>
          <w:rFonts w:ascii="Times New Roman Regular" w:hAnsi="Times New Roman Regular" w:cs="Times New Roman Regular"/>
          <w:szCs w:val="24"/>
        </w:rPr>
      </w:pPr>
      <w:r>
        <w:rPr>
          <w:rFonts w:ascii="Times New Roman Regular" w:hAnsi="Times New Roman Regular" w:eastAsia="Times New Roman" w:cs="Times New Roman Regular"/>
          <w:i w:val="0"/>
          <w:sz w:val="24"/>
          <w:szCs w:val="24"/>
        </w:rPr>
        <w:t xml:space="preserve">Hart, E. A., Leary, M. R., &amp; Rejeski, W. J. (1989). The measurement of social physique anxiety. </w:t>
      </w:r>
      <w:r>
        <w:rPr>
          <w:rFonts w:ascii="Times New Roman Regular" w:hAnsi="Times New Roman Regular" w:eastAsia="Times New Roman" w:cs="Times New Roman Regular"/>
          <w:i/>
          <w:sz w:val="24"/>
          <w:szCs w:val="24"/>
        </w:rPr>
        <w:t>Journal of Sport and Exercise Psychology, 11</w:t>
      </w:r>
      <w:r>
        <w:rPr>
          <w:rFonts w:ascii="Times New Roman Regular" w:hAnsi="Times New Roman Regular" w:eastAsia="Times New Roman" w:cs="Times New Roman Regular"/>
          <w:i w:val="0"/>
          <w:sz w:val="24"/>
          <w:szCs w:val="24"/>
        </w:rPr>
        <w:t xml:space="preserve">(1), 94–104. </w:t>
      </w:r>
      <w:r>
        <w:rPr>
          <w:rFonts w:ascii="Times New Roman Regular" w:hAnsi="Times New Roman Regular" w:eastAsia="Times New Roman" w:cs="Times New Roman Regular"/>
          <w:i w:val="0"/>
          <w:sz w:val="24"/>
          <w:szCs w:val="24"/>
        </w:rPr>
        <w:fldChar w:fldCharType="begin"/>
      </w:r>
      <w:r>
        <w:rPr>
          <w:rFonts w:ascii="Times New Roman Regular" w:hAnsi="Times New Roman Regular" w:eastAsia="Times New Roman" w:cs="Times New Roman Regular"/>
          <w:i w:val="0"/>
          <w:sz w:val="24"/>
          <w:szCs w:val="24"/>
        </w:rPr>
        <w:instrText xml:space="preserve"> HYPERLINK "https://doi.org/10.1123/jsep.11.1.94" </w:instrText>
      </w:r>
      <w:r>
        <w:rPr>
          <w:rFonts w:ascii="Times New Roman Regular" w:hAnsi="Times New Roman Regular" w:eastAsia="Times New Roman" w:cs="Times New Roman Regular"/>
          <w:i w:val="0"/>
          <w:sz w:val="24"/>
          <w:szCs w:val="24"/>
        </w:rPr>
        <w:fldChar w:fldCharType="separate"/>
      </w:r>
      <w:r>
        <w:rPr>
          <w:rStyle w:val="7"/>
          <w:rFonts w:ascii="Times New Roman Regular" w:hAnsi="Times New Roman Regular" w:eastAsia="Times New Roman" w:cs="Times New Roman Regular"/>
          <w:i w:val="0"/>
          <w:sz w:val="24"/>
          <w:szCs w:val="24"/>
        </w:rPr>
        <w:t>https://doi.org/10.1123/jsep.11.1.94</w:t>
      </w:r>
      <w:r>
        <w:rPr>
          <w:rFonts w:ascii="Times New Roman Regular" w:hAnsi="Times New Roman Regular" w:eastAsia="Times New Roman" w:cs="Times New Roman Regular"/>
          <w:i w:val="0"/>
          <w:sz w:val="24"/>
          <w:szCs w:val="24"/>
        </w:rPr>
        <w:fldChar w:fldCharType="end"/>
      </w:r>
    </w:p>
    <w:p w14:paraId="085D61C1">
      <w:pPr>
        <w:keepLines/>
        <w:spacing w:after="0" w:line="480" w:lineRule="auto"/>
        <w:ind w:left="720" w:hanging="720"/>
        <w:rPr>
          <w:rFonts w:ascii="Times New Roman Regular" w:hAnsi="Times New Roman Regular" w:eastAsia="Times New Roman" w:cs="Times New Roman Regular"/>
          <w:i w:val="0"/>
          <w:sz w:val="24"/>
          <w:szCs w:val="24"/>
        </w:rPr>
      </w:pPr>
      <w:r>
        <w:rPr>
          <w:rFonts w:ascii="Times New Roman Regular" w:hAnsi="Times New Roman Regular" w:eastAsia="Times New Roman" w:cs="Times New Roman Regular"/>
          <w:i w:val="0"/>
          <w:sz w:val="24"/>
          <w:szCs w:val="24"/>
        </w:rPr>
        <w:t xml:space="preserve">Hausenblas, H. A., &amp; Fallon, E. A. (2006). Exercise and body image: A meta-analysis. </w:t>
      </w:r>
      <w:r>
        <w:rPr>
          <w:rFonts w:ascii="Times New Roman Italic" w:hAnsi="Times New Roman Italic" w:eastAsia="Times New Roman" w:cs="Times New Roman Italic"/>
          <w:i/>
          <w:iCs w:val="0"/>
          <w:sz w:val="24"/>
          <w:szCs w:val="24"/>
        </w:rPr>
        <w:t>Psychology &amp; Health, 21</w:t>
      </w:r>
      <w:r>
        <w:rPr>
          <w:rFonts w:ascii="Times New Roman Regular" w:hAnsi="Times New Roman Regular" w:eastAsia="Times New Roman" w:cs="Times New Roman Regular"/>
          <w:i w:val="0"/>
          <w:sz w:val="24"/>
          <w:szCs w:val="24"/>
        </w:rPr>
        <w:t xml:space="preserve">(1), 33–47. </w:t>
      </w:r>
      <w:r>
        <w:rPr>
          <w:rFonts w:ascii="Times New Roman Regular" w:hAnsi="Times New Roman Regular" w:eastAsia="Times New Roman" w:cs="Times New Roman Regular"/>
          <w:i w:val="0"/>
          <w:sz w:val="24"/>
          <w:szCs w:val="24"/>
        </w:rPr>
        <w:fldChar w:fldCharType="begin"/>
      </w:r>
      <w:r>
        <w:rPr>
          <w:rFonts w:ascii="Times New Roman Regular" w:hAnsi="Times New Roman Regular" w:eastAsia="Times New Roman" w:cs="Times New Roman Regular"/>
          <w:i w:val="0"/>
          <w:sz w:val="24"/>
          <w:szCs w:val="24"/>
        </w:rPr>
        <w:instrText xml:space="preserve"> HYPERLINK "https://doi.org/10.1080/14768320500105270" </w:instrText>
      </w:r>
      <w:r>
        <w:rPr>
          <w:rFonts w:ascii="Times New Roman Regular" w:hAnsi="Times New Roman Regular" w:eastAsia="Times New Roman" w:cs="Times New Roman Regular"/>
          <w:i w:val="0"/>
          <w:sz w:val="24"/>
          <w:szCs w:val="24"/>
        </w:rPr>
        <w:fldChar w:fldCharType="separate"/>
      </w:r>
      <w:r>
        <w:rPr>
          <w:rStyle w:val="7"/>
          <w:rFonts w:ascii="Times New Roman Regular" w:hAnsi="Times New Roman Regular" w:eastAsia="Times New Roman" w:cs="Times New Roman Regular"/>
          <w:i w:val="0"/>
          <w:sz w:val="24"/>
          <w:szCs w:val="24"/>
        </w:rPr>
        <w:t>https://doi.org/10.1080/14768320500105270</w:t>
      </w:r>
      <w:r>
        <w:rPr>
          <w:rFonts w:ascii="Times New Roman Regular" w:hAnsi="Times New Roman Regular" w:eastAsia="Times New Roman" w:cs="Times New Roman Regular"/>
          <w:i w:val="0"/>
          <w:sz w:val="24"/>
          <w:szCs w:val="24"/>
        </w:rPr>
        <w:fldChar w:fldCharType="end"/>
      </w:r>
    </w:p>
    <w:p w14:paraId="18FA369F">
      <w:pPr>
        <w:keepLines/>
        <w:spacing w:after="0" w:line="480" w:lineRule="auto"/>
        <w:ind w:left="720" w:hanging="720"/>
        <w:rPr>
          <w:rFonts w:ascii="Times New Roman Regular" w:hAnsi="Times New Roman Regular" w:cs="Times New Roman Regular"/>
          <w:szCs w:val="24"/>
        </w:rPr>
      </w:pPr>
      <w:r>
        <w:rPr>
          <w:rFonts w:ascii="Times New Roman Regular" w:hAnsi="Times New Roman Regular" w:eastAsia="Times New Roman" w:cs="Times New Roman Regular"/>
          <w:i w:val="0"/>
          <w:sz w:val="24"/>
          <w:szCs w:val="24"/>
        </w:rPr>
        <w:t xml:space="preserve">Hedges, L. V., &amp; Olkin, I. (1985). </w:t>
      </w:r>
      <w:r>
        <w:rPr>
          <w:rFonts w:ascii="Times New Roman Italic" w:hAnsi="Times New Roman Italic" w:eastAsia="Times New Roman" w:cs="Times New Roman Italic"/>
          <w:i/>
          <w:iCs w:val="0"/>
          <w:sz w:val="24"/>
          <w:szCs w:val="24"/>
        </w:rPr>
        <w:t>Statistical methods for meta-analysis</w:t>
      </w:r>
      <w:r>
        <w:rPr>
          <w:rFonts w:ascii="Times New Roman Regular" w:hAnsi="Times New Roman Regular" w:eastAsia="Times New Roman" w:cs="Times New Roman Regular"/>
          <w:i w:val="0"/>
          <w:sz w:val="24"/>
          <w:szCs w:val="24"/>
        </w:rPr>
        <w:t>. Academic Press.</w:t>
      </w:r>
      <w:r>
        <w:rPr>
          <w:rFonts w:hint="eastAsia" w:eastAsia="宋体"/>
          <w:lang w:val="en-US" w:eastAsia="zh-CN"/>
        </w:rPr>
        <w:t xml:space="preserve"> https://doi.org/10.1016/C2009-0-03396-0</w:t>
      </w:r>
    </w:p>
    <w:p w14:paraId="62ACE2AD">
      <w:pPr>
        <w:keepLines/>
        <w:spacing w:after="0" w:line="480" w:lineRule="auto"/>
        <w:ind w:left="720" w:hanging="720"/>
        <w:rPr>
          <w:rFonts w:ascii="Times New Roman Regular" w:hAnsi="Times New Roman Regular" w:eastAsia="Times New Roman" w:cs="Times New Roman Regular"/>
          <w:i w:val="0"/>
          <w:sz w:val="24"/>
          <w:szCs w:val="24"/>
        </w:rPr>
      </w:pPr>
      <w:r>
        <w:rPr>
          <w:rFonts w:ascii="Times New Roman Regular" w:hAnsi="Times New Roman Regular" w:eastAsia="Times New Roman" w:cs="Times New Roman Regular"/>
          <w:i w:val="0"/>
          <w:sz w:val="24"/>
          <w:szCs w:val="24"/>
        </w:rPr>
        <w:t xml:space="preserve">Li, J., Wang, N., Liu, Y., Luo, X., &amp; Lu, C. (2026). The relationship between social physique anxiety and physical activity in adolescence and young adulthood: A meta-analysis. </w:t>
      </w:r>
      <w:r>
        <w:rPr>
          <w:rFonts w:ascii="Times New Roman Italic" w:hAnsi="Times New Roman Italic" w:eastAsia="Times New Roman" w:cs="Times New Roman Italic"/>
          <w:i/>
          <w:iCs w:val="0"/>
          <w:sz w:val="24"/>
          <w:szCs w:val="24"/>
        </w:rPr>
        <w:t>Current Psychology, 45</w:t>
      </w:r>
      <w:r>
        <w:rPr>
          <w:rFonts w:ascii="Times New Roman Regular" w:hAnsi="Times New Roman Regular" w:eastAsia="Times New Roman" w:cs="Times New Roman Regular"/>
          <w:i w:val="0"/>
          <w:sz w:val="24"/>
          <w:szCs w:val="24"/>
        </w:rPr>
        <w:t xml:space="preserve">(12), 1144. </w:t>
      </w:r>
      <w:r>
        <w:rPr>
          <w:rFonts w:ascii="Times New Roman Regular" w:hAnsi="Times New Roman Regular" w:eastAsia="Times New Roman" w:cs="Times New Roman Regular"/>
          <w:i w:val="0"/>
          <w:sz w:val="24"/>
          <w:szCs w:val="24"/>
        </w:rPr>
        <w:fldChar w:fldCharType="begin"/>
      </w:r>
      <w:r>
        <w:rPr>
          <w:rFonts w:ascii="Times New Roman Regular" w:hAnsi="Times New Roman Regular" w:eastAsia="Times New Roman" w:cs="Times New Roman Regular"/>
          <w:i w:val="0"/>
          <w:sz w:val="24"/>
          <w:szCs w:val="24"/>
        </w:rPr>
        <w:instrText xml:space="preserve"> HYPERLINK "https://doi.org/10.1007/s12144-026-09661-x" </w:instrText>
      </w:r>
      <w:r>
        <w:rPr>
          <w:rFonts w:ascii="Times New Roman Regular" w:hAnsi="Times New Roman Regular" w:eastAsia="Times New Roman" w:cs="Times New Roman Regular"/>
          <w:i w:val="0"/>
          <w:sz w:val="24"/>
          <w:szCs w:val="24"/>
        </w:rPr>
        <w:fldChar w:fldCharType="separate"/>
      </w:r>
      <w:r>
        <w:rPr>
          <w:rStyle w:val="7"/>
          <w:rFonts w:ascii="Times New Roman Regular" w:hAnsi="Times New Roman Regular" w:eastAsia="Times New Roman" w:cs="Times New Roman Regular"/>
          <w:i w:val="0"/>
          <w:sz w:val="24"/>
          <w:szCs w:val="24"/>
        </w:rPr>
        <w:t>https://doi.org/10.1007/s12144-026-09661-x</w:t>
      </w:r>
      <w:r>
        <w:rPr>
          <w:rFonts w:ascii="Times New Roman Regular" w:hAnsi="Times New Roman Regular" w:eastAsia="Times New Roman" w:cs="Times New Roman Regular"/>
          <w:i w:val="0"/>
          <w:sz w:val="24"/>
          <w:szCs w:val="24"/>
        </w:rPr>
        <w:fldChar w:fldCharType="end"/>
      </w:r>
    </w:p>
    <w:p w14:paraId="3F2BAAA5">
      <w:pPr>
        <w:keepLines/>
        <w:spacing w:after="0" w:line="480" w:lineRule="auto"/>
        <w:ind w:left="720" w:hanging="720"/>
        <w:rPr>
          <w:rFonts w:ascii="Times New Roman Regular" w:hAnsi="Times New Roman Regular" w:eastAsia="Times New Roman" w:cs="Times New Roman Regular"/>
          <w:i w:val="0"/>
          <w:sz w:val="24"/>
          <w:szCs w:val="24"/>
        </w:rPr>
      </w:pPr>
      <w:r>
        <w:rPr>
          <w:rFonts w:ascii="Times New Roman Regular" w:hAnsi="Times New Roman Regular" w:eastAsia="Times New Roman" w:cs="Times New Roman Regular"/>
          <w:i w:val="0"/>
          <w:sz w:val="24"/>
          <w:szCs w:val="24"/>
        </w:rPr>
        <w:t xml:space="preserve">Lindwall, M., &amp; Lindgren, E.-C. (2005). The effects of a 6-month exercise intervention programme on physical self-perceptions and social physique anxiety in non-physically active adolescent Swedish girls. </w:t>
      </w:r>
      <w:r>
        <w:rPr>
          <w:rFonts w:ascii="Times New Roman Italic" w:hAnsi="Times New Roman Italic" w:eastAsia="Times New Roman" w:cs="Times New Roman Italic"/>
          <w:i/>
          <w:iCs w:val="0"/>
          <w:sz w:val="24"/>
          <w:szCs w:val="24"/>
        </w:rPr>
        <w:t>Psychology of Sport and Exercise, 6</w:t>
      </w:r>
      <w:r>
        <w:rPr>
          <w:rFonts w:ascii="Times New Roman Regular" w:hAnsi="Times New Roman Regular" w:eastAsia="Times New Roman" w:cs="Times New Roman Regular"/>
          <w:i w:val="0"/>
          <w:sz w:val="24"/>
          <w:szCs w:val="24"/>
        </w:rPr>
        <w:t xml:space="preserve">(6), 643–658. </w:t>
      </w:r>
      <w:r>
        <w:rPr>
          <w:rFonts w:ascii="Times New Roman Regular" w:hAnsi="Times New Roman Regular" w:eastAsia="Times New Roman" w:cs="Times New Roman Regular"/>
          <w:i w:val="0"/>
          <w:sz w:val="24"/>
          <w:szCs w:val="24"/>
        </w:rPr>
        <w:fldChar w:fldCharType="begin"/>
      </w:r>
      <w:r>
        <w:rPr>
          <w:rFonts w:ascii="Times New Roman Regular" w:hAnsi="Times New Roman Regular" w:eastAsia="Times New Roman" w:cs="Times New Roman Regular"/>
          <w:i w:val="0"/>
          <w:sz w:val="24"/>
          <w:szCs w:val="24"/>
        </w:rPr>
        <w:instrText xml:space="preserve"> HYPERLINK "https://doi.org/10.1016/j.psychsport.2005.03.003" </w:instrText>
      </w:r>
      <w:r>
        <w:rPr>
          <w:rFonts w:ascii="Times New Roman Regular" w:hAnsi="Times New Roman Regular" w:eastAsia="Times New Roman" w:cs="Times New Roman Regular"/>
          <w:i w:val="0"/>
          <w:sz w:val="24"/>
          <w:szCs w:val="24"/>
        </w:rPr>
        <w:fldChar w:fldCharType="separate"/>
      </w:r>
      <w:r>
        <w:rPr>
          <w:rStyle w:val="7"/>
          <w:rFonts w:ascii="Times New Roman Regular" w:hAnsi="Times New Roman Regular" w:eastAsia="Times New Roman" w:cs="Times New Roman Regular"/>
          <w:i w:val="0"/>
          <w:sz w:val="24"/>
          <w:szCs w:val="24"/>
        </w:rPr>
        <w:t>https://doi.org/10.1016/j.psychsport.2005.03.003</w:t>
      </w:r>
      <w:r>
        <w:rPr>
          <w:rFonts w:ascii="Times New Roman Regular" w:hAnsi="Times New Roman Regular" w:eastAsia="Times New Roman" w:cs="Times New Roman Regular"/>
          <w:i w:val="0"/>
          <w:sz w:val="24"/>
          <w:szCs w:val="24"/>
        </w:rPr>
        <w:fldChar w:fldCharType="end"/>
      </w:r>
    </w:p>
    <w:p w14:paraId="79AE8089">
      <w:pPr>
        <w:keepLines/>
        <w:spacing w:after="0" w:line="480" w:lineRule="auto"/>
        <w:ind w:left="720" w:hanging="720"/>
        <w:rPr>
          <w:rFonts w:ascii="Times New Roman Regular" w:hAnsi="Times New Roman Regular" w:eastAsia="Times New Roman" w:cs="Times New Roman Regular"/>
          <w:i w:val="0"/>
          <w:sz w:val="24"/>
          <w:szCs w:val="24"/>
        </w:rPr>
      </w:pPr>
      <w:r>
        <w:rPr>
          <w:rFonts w:ascii="Times New Roman Regular" w:hAnsi="Times New Roman Regular" w:eastAsia="Times New Roman" w:cs="Times New Roman Regular"/>
          <w:i w:val="0"/>
          <w:sz w:val="24"/>
          <w:szCs w:val="24"/>
        </w:rPr>
        <w:t xml:space="preserve">Liu, X., Soh, K. G., &amp; Lu, Y. (2025). Effect of dance on social physique anxiety and physical self-esteem among adults: A systematic review. </w:t>
      </w:r>
      <w:r>
        <w:rPr>
          <w:rFonts w:ascii="Times New Roman Italic" w:hAnsi="Times New Roman Italic" w:eastAsia="Times New Roman" w:cs="Times New Roman Italic"/>
          <w:i/>
          <w:iCs w:val="0"/>
          <w:sz w:val="24"/>
          <w:szCs w:val="24"/>
        </w:rPr>
        <w:t>Frontiers in Psychology, 16</w:t>
      </w:r>
      <w:r>
        <w:rPr>
          <w:rFonts w:ascii="Times New Roman Regular" w:hAnsi="Times New Roman Regular" w:eastAsia="Times New Roman" w:cs="Times New Roman Regular"/>
          <w:i w:val="0"/>
          <w:sz w:val="24"/>
          <w:szCs w:val="24"/>
        </w:rPr>
        <w:t xml:space="preserve">, 1547802. </w:t>
      </w:r>
      <w:r>
        <w:rPr>
          <w:rFonts w:ascii="Times New Roman Regular" w:hAnsi="Times New Roman Regular" w:eastAsia="Times New Roman" w:cs="Times New Roman Regular"/>
          <w:i w:val="0"/>
          <w:sz w:val="24"/>
          <w:szCs w:val="24"/>
        </w:rPr>
        <w:fldChar w:fldCharType="begin"/>
      </w:r>
      <w:r>
        <w:rPr>
          <w:rFonts w:ascii="Times New Roman Regular" w:hAnsi="Times New Roman Regular" w:eastAsia="Times New Roman" w:cs="Times New Roman Regular"/>
          <w:i w:val="0"/>
          <w:sz w:val="24"/>
          <w:szCs w:val="24"/>
        </w:rPr>
        <w:instrText xml:space="preserve"> HYPERLINK "https://doi.org/10.3389/fpsyg.2025.1547802" </w:instrText>
      </w:r>
      <w:r>
        <w:rPr>
          <w:rFonts w:ascii="Times New Roman Regular" w:hAnsi="Times New Roman Regular" w:eastAsia="Times New Roman" w:cs="Times New Roman Regular"/>
          <w:i w:val="0"/>
          <w:sz w:val="24"/>
          <w:szCs w:val="24"/>
        </w:rPr>
        <w:fldChar w:fldCharType="separate"/>
      </w:r>
      <w:r>
        <w:rPr>
          <w:rStyle w:val="7"/>
          <w:rFonts w:ascii="Times New Roman Regular" w:hAnsi="Times New Roman Regular" w:eastAsia="Times New Roman" w:cs="Times New Roman Regular"/>
          <w:i w:val="0"/>
          <w:sz w:val="24"/>
          <w:szCs w:val="24"/>
        </w:rPr>
        <w:t>https://doi.org/10.3389/fpsyg.2025.1547802</w:t>
      </w:r>
      <w:r>
        <w:rPr>
          <w:rFonts w:ascii="Times New Roman Regular" w:hAnsi="Times New Roman Regular" w:eastAsia="Times New Roman" w:cs="Times New Roman Regular"/>
          <w:i w:val="0"/>
          <w:sz w:val="24"/>
          <w:szCs w:val="24"/>
        </w:rPr>
        <w:fldChar w:fldCharType="end"/>
      </w:r>
    </w:p>
    <w:p w14:paraId="494E3BD9">
      <w:pPr>
        <w:keepLines/>
        <w:spacing w:after="0" w:line="480" w:lineRule="auto"/>
        <w:ind w:left="720" w:hanging="720"/>
        <w:rPr>
          <w:rFonts w:ascii="Times New Roman Regular" w:hAnsi="Times New Roman Regular" w:eastAsia="Times New Roman" w:cs="Times New Roman Regular"/>
          <w:i w:val="0"/>
          <w:sz w:val="24"/>
          <w:szCs w:val="24"/>
        </w:rPr>
      </w:pPr>
      <w:r>
        <w:rPr>
          <w:rFonts w:ascii="Times New Roman Regular" w:hAnsi="Times New Roman Regular" w:eastAsia="Times New Roman" w:cs="Times New Roman Regular"/>
          <w:i w:val="0"/>
          <w:sz w:val="24"/>
          <w:szCs w:val="24"/>
        </w:rPr>
        <w:t>Martin Ginis, K. A., Murru, E., Conlin, C., &amp; Strong, H. A. (2011). Construct validation of a state version of the Social Physique Anxiety Scale among young women.</w:t>
      </w:r>
      <w:r>
        <w:rPr>
          <w:rFonts w:ascii="Times New Roman Italic" w:hAnsi="Times New Roman Italic" w:eastAsia="Times New Roman" w:cs="Times New Roman Italic"/>
          <w:i/>
          <w:iCs/>
          <w:sz w:val="24"/>
          <w:szCs w:val="24"/>
        </w:rPr>
        <w:t xml:space="preserve"> Body Image, 8</w:t>
      </w:r>
      <w:r>
        <w:rPr>
          <w:rFonts w:ascii="Times New Roman Regular" w:hAnsi="Times New Roman Regular" w:eastAsia="Times New Roman" w:cs="Times New Roman Regular"/>
          <w:i w:val="0"/>
          <w:sz w:val="24"/>
          <w:szCs w:val="24"/>
        </w:rPr>
        <w:t xml:space="preserve">(1), 52–57. </w:t>
      </w:r>
      <w:r>
        <w:rPr>
          <w:rFonts w:ascii="Times New Roman Regular" w:hAnsi="Times New Roman Regular" w:eastAsia="Times New Roman" w:cs="Times New Roman Regular"/>
          <w:i w:val="0"/>
          <w:sz w:val="24"/>
          <w:szCs w:val="24"/>
        </w:rPr>
        <w:fldChar w:fldCharType="begin"/>
      </w:r>
      <w:r>
        <w:rPr>
          <w:rFonts w:ascii="Times New Roman Regular" w:hAnsi="Times New Roman Regular" w:eastAsia="Times New Roman" w:cs="Times New Roman Regular"/>
          <w:i w:val="0"/>
          <w:sz w:val="24"/>
          <w:szCs w:val="24"/>
        </w:rPr>
        <w:instrText xml:space="preserve"> HYPERLINK "https://doi.org/10.1016/j.bodyim.2010.10.001" </w:instrText>
      </w:r>
      <w:r>
        <w:rPr>
          <w:rFonts w:ascii="Times New Roman Regular" w:hAnsi="Times New Roman Regular" w:eastAsia="Times New Roman" w:cs="Times New Roman Regular"/>
          <w:i w:val="0"/>
          <w:sz w:val="24"/>
          <w:szCs w:val="24"/>
        </w:rPr>
        <w:fldChar w:fldCharType="separate"/>
      </w:r>
      <w:r>
        <w:rPr>
          <w:rStyle w:val="7"/>
          <w:rFonts w:ascii="Times New Roman Regular" w:hAnsi="Times New Roman Regular" w:eastAsia="Times New Roman" w:cs="Times New Roman Regular"/>
          <w:i w:val="0"/>
          <w:sz w:val="24"/>
          <w:szCs w:val="24"/>
        </w:rPr>
        <w:t>https://doi.org/10.1016/j.bodyim.2010.10.001</w:t>
      </w:r>
      <w:r>
        <w:rPr>
          <w:rFonts w:ascii="Times New Roman Regular" w:hAnsi="Times New Roman Regular" w:eastAsia="Times New Roman" w:cs="Times New Roman Regular"/>
          <w:i w:val="0"/>
          <w:sz w:val="24"/>
          <w:szCs w:val="24"/>
        </w:rPr>
        <w:fldChar w:fldCharType="end"/>
      </w:r>
    </w:p>
    <w:p w14:paraId="692B951E">
      <w:pPr>
        <w:keepLines/>
        <w:spacing w:after="0" w:line="480" w:lineRule="auto"/>
        <w:ind w:left="720" w:hanging="720"/>
        <w:rPr>
          <w:rFonts w:ascii="Times New Roman Regular" w:hAnsi="Times New Roman Regular" w:eastAsia="Times New Roman" w:cs="Times New Roman Regular"/>
          <w:i w:val="0"/>
          <w:sz w:val="24"/>
          <w:szCs w:val="24"/>
        </w:rPr>
      </w:pPr>
      <w:r>
        <w:rPr>
          <w:rFonts w:ascii="Times New Roman Regular" w:hAnsi="Times New Roman Regular" w:eastAsia="Times New Roman" w:cs="Times New Roman Regular"/>
          <w:i w:val="0"/>
          <w:sz w:val="24"/>
          <w:szCs w:val="24"/>
        </w:rP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Pr>
          <w:rFonts w:ascii="Times New Roman Italic" w:hAnsi="Times New Roman Italic" w:eastAsia="Times New Roman" w:cs="Times New Roman Italic"/>
          <w:i/>
          <w:iCs w:val="0"/>
          <w:sz w:val="24"/>
          <w:szCs w:val="24"/>
        </w:rPr>
        <w:t>BMJ, 372</w:t>
      </w:r>
      <w:r>
        <w:rPr>
          <w:rFonts w:ascii="Times New Roman Regular" w:hAnsi="Times New Roman Regular" w:eastAsia="Times New Roman" w:cs="Times New Roman Regular"/>
          <w:i w:val="0"/>
          <w:sz w:val="24"/>
          <w:szCs w:val="24"/>
        </w:rPr>
        <w:t xml:space="preserve">, n71. </w:t>
      </w:r>
      <w:r>
        <w:rPr>
          <w:rFonts w:ascii="Times New Roman Regular" w:hAnsi="Times New Roman Regular" w:eastAsia="Times New Roman" w:cs="Times New Roman Regular"/>
          <w:i w:val="0"/>
          <w:sz w:val="24"/>
          <w:szCs w:val="24"/>
        </w:rPr>
        <w:fldChar w:fldCharType="begin"/>
      </w:r>
      <w:r>
        <w:rPr>
          <w:rFonts w:ascii="Times New Roman Regular" w:hAnsi="Times New Roman Regular" w:eastAsia="Times New Roman" w:cs="Times New Roman Regular"/>
          <w:i w:val="0"/>
          <w:sz w:val="24"/>
          <w:szCs w:val="24"/>
        </w:rPr>
        <w:instrText xml:space="preserve"> HYPERLINK "https://doi.org/10.1136/bmj.n71" </w:instrText>
      </w:r>
      <w:r>
        <w:rPr>
          <w:rFonts w:ascii="Times New Roman Regular" w:hAnsi="Times New Roman Regular" w:eastAsia="Times New Roman" w:cs="Times New Roman Regular"/>
          <w:i w:val="0"/>
          <w:sz w:val="24"/>
          <w:szCs w:val="24"/>
        </w:rPr>
        <w:fldChar w:fldCharType="separate"/>
      </w:r>
      <w:r>
        <w:rPr>
          <w:rStyle w:val="7"/>
          <w:rFonts w:ascii="Times New Roman Regular" w:hAnsi="Times New Roman Regular" w:eastAsia="Times New Roman" w:cs="Times New Roman Regular"/>
          <w:i w:val="0"/>
          <w:sz w:val="24"/>
          <w:szCs w:val="24"/>
        </w:rPr>
        <w:t>https://doi.org/10.1136/bmj.n71</w:t>
      </w:r>
      <w:r>
        <w:rPr>
          <w:rFonts w:ascii="Times New Roman Regular" w:hAnsi="Times New Roman Regular" w:eastAsia="Times New Roman" w:cs="Times New Roman Regular"/>
          <w:i w:val="0"/>
          <w:sz w:val="24"/>
          <w:szCs w:val="24"/>
        </w:rPr>
        <w:fldChar w:fldCharType="end"/>
      </w:r>
    </w:p>
    <w:p w14:paraId="34859F20">
      <w:pPr>
        <w:keepLines/>
        <w:spacing w:after="0" w:line="480" w:lineRule="auto"/>
        <w:ind w:left="720" w:hanging="720"/>
        <w:rPr>
          <w:rFonts w:ascii="Times New Roman Regular" w:hAnsi="Times New Roman Regular" w:eastAsia="Times New Roman" w:cs="Times New Roman Regular"/>
          <w:i w:val="0"/>
          <w:sz w:val="24"/>
          <w:szCs w:val="24"/>
        </w:rPr>
      </w:pPr>
      <w:r>
        <w:rPr>
          <w:rFonts w:ascii="Times New Roman Regular" w:hAnsi="Times New Roman Regular" w:eastAsia="Times New Roman" w:cs="Times New Roman Regular"/>
          <w:i w:val="0"/>
          <w:sz w:val="24"/>
          <w:szCs w:val="24"/>
        </w:rPr>
        <w:t xml:space="preserve">Sabiston, C. M., Pila, E., Pinsonnault-Bilodeau, G., &amp; Cox, A. E. (2014). Social physique anxiety experiences in physical activity: A comprehensive synthesis of research studies focused on measurement, theory, and predictors and outcomes. </w:t>
      </w:r>
      <w:r>
        <w:rPr>
          <w:rFonts w:ascii="Times New Roman Italic" w:hAnsi="Times New Roman Italic" w:eastAsia="Times New Roman" w:cs="Times New Roman Italic"/>
          <w:i/>
          <w:iCs w:val="0"/>
          <w:sz w:val="24"/>
          <w:szCs w:val="24"/>
        </w:rPr>
        <w:t>International Review of Sport and Exercise Psychology, 7</w:t>
      </w:r>
      <w:r>
        <w:rPr>
          <w:rFonts w:ascii="Times New Roman Regular" w:hAnsi="Times New Roman Regular" w:eastAsia="Times New Roman" w:cs="Times New Roman Regular"/>
          <w:i w:val="0"/>
          <w:sz w:val="24"/>
          <w:szCs w:val="24"/>
        </w:rPr>
        <w:t xml:space="preserve">(1), 158–183. </w:t>
      </w:r>
      <w:r>
        <w:rPr>
          <w:rFonts w:ascii="Times New Roman Regular" w:hAnsi="Times New Roman Regular" w:eastAsia="Times New Roman" w:cs="Times New Roman Regular"/>
          <w:i w:val="0"/>
          <w:sz w:val="24"/>
          <w:szCs w:val="24"/>
        </w:rPr>
        <w:fldChar w:fldCharType="begin"/>
      </w:r>
      <w:r>
        <w:rPr>
          <w:rFonts w:ascii="Times New Roman Regular" w:hAnsi="Times New Roman Regular" w:eastAsia="Times New Roman" w:cs="Times New Roman Regular"/>
          <w:i w:val="0"/>
          <w:sz w:val="24"/>
          <w:szCs w:val="24"/>
        </w:rPr>
        <w:instrText xml:space="preserve"> HYPERLINK "https://doi.org/10.1080/1750984X.2014.904392" </w:instrText>
      </w:r>
      <w:r>
        <w:rPr>
          <w:rFonts w:ascii="Times New Roman Regular" w:hAnsi="Times New Roman Regular" w:eastAsia="Times New Roman" w:cs="Times New Roman Regular"/>
          <w:i w:val="0"/>
          <w:sz w:val="24"/>
          <w:szCs w:val="24"/>
        </w:rPr>
        <w:fldChar w:fldCharType="separate"/>
      </w:r>
      <w:r>
        <w:rPr>
          <w:rStyle w:val="7"/>
          <w:rFonts w:ascii="Times New Roman Regular" w:hAnsi="Times New Roman Regular" w:eastAsia="Times New Roman" w:cs="Times New Roman Regular"/>
          <w:i w:val="0"/>
          <w:sz w:val="24"/>
          <w:szCs w:val="24"/>
        </w:rPr>
        <w:t>https://doi.org/10.1080/1750984X.2014.904392</w:t>
      </w:r>
      <w:r>
        <w:rPr>
          <w:rFonts w:ascii="Times New Roman Regular" w:hAnsi="Times New Roman Regular" w:eastAsia="Times New Roman" w:cs="Times New Roman Regular"/>
          <w:i w:val="0"/>
          <w:sz w:val="24"/>
          <w:szCs w:val="24"/>
        </w:rPr>
        <w:fldChar w:fldCharType="end"/>
      </w:r>
    </w:p>
    <w:p w14:paraId="1F17FC33">
      <w:pPr>
        <w:keepLines/>
        <w:spacing w:after="0" w:line="480" w:lineRule="auto"/>
        <w:ind w:left="720" w:hanging="720"/>
        <w:rPr>
          <w:rFonts w:ascii="Times New Roman Regular" w:hAnsi="Times New Roman Regular" w:eastAsia="Times New Roman" w:cs="Times New Roman Regular"/>
          <w:i w:val="0"/>
          <w:sz w:val="24"/>
          <w:szCs w:val="24"/>
        </w:rPr>
      </w:pPr>
      <w:r>
        <w:rPr>
          <w:rFonts w:ascii="Times New Roman Regular" w:hAnsi="Times New Roman Regular" w:eastAsia="Times New Roman" w:cs="Times New Roman Regular"/>
          <w:i w:val="0"/>
          <w:sz w:val="24"/>
          <w:szCs w:val="24"/>
        </w:rPr>
        <w:t xml:space="preserve">Sterne, J. A. C., Hernán, M. A., Reeves, B. C., Savović, J., Berkman, N. D., Viswanathan, M., Henry, D., Altman, D. G., Ansari, M. T., Boutron, I., Carpenter, J. R., Chan, A.-W., Churchill, R., Deeks, J. J., Hróbjartsson, A., Kirkham, J., Jüni, P., Loke, Y. K., Pigott, T. D., ... Higgins, J. P. T. (2016). ROBINS-I: A tool for assessing risk of bias in non-randomised studies of interventions. </w:t>
      </w:r>
      <w:r>
        <w:rPr>
          <w:rFonts w:ascii="Times New Roman Regular" w:hAnsi="Times New Roman Regular" w:eastAsia="Times New Roman" w:cs="Times New Roman Regular"/>
          <w:i/>
          <w:sz w:val="24"/>
          <w:szCs w:val="24"/>
        </w:rPr>
        <w:t>BMJ, 355</w:t>
      </w:r>
      <w:r>
        <w:rPr>
          <w:rFonts w:ascii="Times New Roman Regular" w:hAnsi="Times New Roman Regular" w:eastAsia="Times New Roman" w:cs="Times New Roman Regular"/>
          <w:i w:val="0"/>
          <w:sz w:val="24"/>
          <w:szCs w:val="24"/>
        </w:rPr>
        <w:t xml:space="preserve">, i4919. </w:t>
      </w:r>
      <w:r>
        <w:rPr>
          <w:rFonts w:ascii="Times New Roman Regular" w:hAnsi="Times New Roman Regular" w:eastAsia="Times New Roman" w:cs="Times New Roman Regular"/>
          <w:i w:val="0"/>
          <w:sz w:val="24"/>
          <w:szCs w:val="24"/>
        </w:rPr>
        <w:fldChar w:fldCharType="begin"/>
      </w:r>
      <w:r>
        <w:rPr>
          <w:rFonts w:ascii="Times New Roman Regular" w:hAnsi="Times New Roman Regular" w:eastAsia="Times New Roman" w:cs="Times New Roman Regular"/>
          <w:i w:val="0"/>
          <w:sz w:val="24"/>
          <w:szCs w:val="24"/>
        </w:rPr>
        <w:instrText xml:space="preserve"> HYPERLINK "https://doi.org/10.1136/bmj.i4919" </w:instrText>
      </w:r>
      <w:r>
        <w:rPr>
          <w:rFonts w:ascii="Times New Roman Regular" w:hAnsi="Times New Roman Regular" w:eastAsia="Times New Roman" w:cs="Times New Roman Regular"/>
          <w:i w:val="0"/>
          <w:sz w:val="24"/>
          <w:szCs w:val="24"/>
        </w:rPr>
        <w:fldChar w:fldCharType="separate"/>
      </w:r>
      <w:r>
        <w:rPr>
          <w:rStyle w:val="7"/>
          <w:rFonts w:ascii="Times New Roman Regular" w:hAnsi="Times New Roman Regular" w:eastAsia="Times New Roman" w:cs="Times New Roman Regular"/>
          <w:i w:val="0"/>
          <w:sz w:val="24"/>
          <w:szCs w:val="24"/>
        </w:rPr>
        <w:t>https://doi.org/10.1136/bmj.i4919</w:t>
      </w:r>
      <w:r>
        <w:rPr>
          <w:rFonts w:ascii="Times New Roman Regular" w:hAnsi="Times New Roman Regular" w:eastAsia="Times New Roman" w:cs="Times New Roman Regular"/>
          <w:i w:val="0"/>
          <w:sz w:val="24"/>
          <w:szCs w:val="24"/>
        </w:rPr>
        <w:fldChar w:fldCharType="end"/>
      </w:r>
    </w:p>
    <w:p w14:paraId="4572F177">
      <w:pPr>
        <w:keepLines/>
        <w:spacing w:after="0" w:line="480" w:lineRule="auto"/>
        <w:ind w:left="720" w:hanging="720"/>
        <w:rPr>
          <w:rFonts w:ascii="Times New Roman Regular" w:hAnsi="Times New Roman Regular" w:eastAsia="Times New Roman" w:cs="Times New Roman Regular"/>
          <w:i w:val="0"/>
          <w:sz w:val="24"/>
          <w:szCs w:val="24"/>
        </w:rPr>
      </w:pPr>
      <w:r>
        <w:rPr>
          <w:rFonts w:ascii="Times New Roman Regular" w:hAnsi="Times New Roman Regular" w:eastAsia="Times New Roman" w:cs="Times New Roman Regular"/>
          <w:i w:val="0"/>
          <w:sz w:val="24"/>
          <w:szCs w:val="24"/>
        </w:rPr>
        <w:t xml:space="preserve">Sterne, J. A. C., Savović, J., Page, M. J., Elbers, R. G., Blencowe, N. S., Boutron, I., Cates, C. J., Cheng, H.-Y., Corbett, M. S., Eldridge, S. M., Emberson, J. R., Hernán, M. A., Hopewell, S., Hróbjartsson, A., Junqueira, D. R., Jüni, P., Kirkham, J. J., Lasserson, T., Li, T., ... Higgins, J. P. T. (2019). RoB 2: A revised tool for assessing risk of bias in randomised trials. </w:t>
      </w:r>
      <w:r>
        <w:rPr>
          <w:rFonts w:ascii="Times New Roman Italic" w:hAnsi="Times New Roman Italic" w:eastAsia="Times New Roman" w:cs="Times New Roman Italic"/>
          <w:i/>
          <w:iCs w:val="0"/>
          <w:sz w:val="24"/>
          <w:szCs w:val="24"/>
        </w:rPr>
        <w:t>BMJ, 366</w:t>
      </w:r>
      <w:r>
        <w:rPr>
          <w:rFonts w:ascii="Times New Roman Regular" w:hAnsi="Times New Roman Regular" w:eastAsia="Times New Roman" w:cs="Times New Roman Regular"/>
          <w:i w:val="0"/>
          <w:sz w:val="24"/>
          <w:szCs w:val="24"/>
        </w:rPr>
        <w:t xml:space="preserve">, l4898. </w:t>
      </w:r>
      <w:r>
        <w:rPr>
          <w:rFonts w:ascii="Times New Roman Regular" w:hAnsi="Times New Roman Regular" w:eastAsia="Times New Roman" w:cs="Times New Roman Regular"/>
          <w:i w:val="0"/>
          <w:sz w:val="24"/>
          <w:szCs w:val="24"/>
        </w:rPr>
        <w:fldChar w:fldCharType="begin"/>
      </w:r>
      <w:r>
        <w:rPr>
          <w:rFonts w:ascii="Times New Roman Regular" w:hAnsi="Times New Roman Regular" w:eastAsia="Times New Roman" w:cs="Times New Roman Regular"/>
          <w:i w:val="0"/>
          <w:sz w:val="24"/>
          <w:szCs w:val="24"/>
        </w:rPr>
        <w:instrText xml:space="preserve"> HYPERLINK "https://doi.org/10.1136/bmj.l4898" </w:instrText>
      </w:r>
      <w:r>
        <w:rPr>
          <w:rFonts w:ascii="Times New Roman Regular" w:hAnsi="Times New Roman Regular" w:eastAsia="Times New Roman" w:cs="Times New Roman Regular"/>
          <w:i w:val="0"/>
          <w:sz w:val="24"/>
          <w:szCs w:val="24"/>
        </w:rPr>
        <w:fldChar w:fldCharType="separate"/>
      </w:r>
      <w:r>
        <w:rPr>
          <w:rStyle w:val="7"/>
          <w:rFonts w:ascii="Times New Roman Regular" w:hAnsi="Times New Roman Regular" w:eastAsia="Times New Roman" w:cs="Times New Roman Regular"/>
          <w:i w:val="0"/>
          <w:sz w:val="24"/>
          <w:szCs w:val="24"/>
        </w:rPr>
        <w:t>https://doi.org/10.1136/bmj.l4898</w:t>
      </w:r>
      <w:r>
        <w:rPr>
          <w:rFonts w:ascii="Times New Roman Regular" w:hAnsi="Times New Roman Regular" w:eastAsia="Times New Roman" w:cs="Times New Roman Regular"/>
          <w:i w:val="0"/>
          <w:sz w:val="24"/>
          <w:szCs w:val="24"/>
        </w:rPr>
        <w:fldChar w:fldCharType="end"/>
      </w:r>
    </w:p>
    <w:p w14:paraId="523F9AB0">
      <w:pPr>
        <w:keepLines/>
        <w:spacing w:after="0" w:line="480" w:lineRule="auto"/>
        <w:ind w:left="720" w:hanging="720"/>
        <w:rPr>
          <w:rFonts w:hint="eastAsia"/>
          <w:lang w:val="en-US" w:eastAsia="zh-CN"/>
        </w:rPr>
      </w:pPr>
      <w:r>
        <w:rPr>
          <w:rFonts w:hint="eastAsia" w:ascii="Times New Roman Regular" w:hAnsi="Times New Roman Regular" w:eastAsia="Times New Roman" w:cs="Times New Roman Regular"/>
          <w:i w:val="0"/>
          <w:sz w:val="24"/>
          <w:szCs w:val="24"/>
        </w:rPr>
        <w:t xml:space="preserve">Tao, R., Yang, Y., Wilson, M., Chang, J. R., Liu, C., &amp; Sit, C. H. P. (2025). Comparative effectiveness of physical activity interventions on cognitive functions in children and adolescents with Neurodevelopmental Disorders: a systematic review and network meta-analysis of randomized controlled trials. </w:t>
      </w:r>
      <w:r>
        <w:rPr>
          <w:rFonts w:hint="default" w:ascii="Times New Roman Italic" w:hAnsi="Times New Roman Italic" w:eastAsia="Times New Roman" w:cs="Times New Roman Italic"/>
          <w:i/>
          <w:iCs/>
          <w:sz w:val="24"/>
          <w:szCs w:val="24"/>
        </w:rPr>
        <w:t>The international journal of behavioral nutrition and physical activity, 22</w:t>
      </w:r>
      <w:r>
        <w:rPr>
          <w:rFonts w:hint="eastAsia" w:ascii="Times New Roman Regular" w:hAnsi="Times New Roman Regular" w:eastAsia="Times New Roman" w:cs="Times New Roman Regular"/>
          <w:i w:val="0"/>
          <w:sz w:val="24"/>
          <w:szCs w:val="24"/>
        </w:rPr>
        <w:t xml:space="preserve">(1), 6. </w:t>
      </w:r>
      <w:r>
        <w:rPr>
          <w:rFonts w:hint="eastAsia" w:ascii="Times New Roman Regular" w:hAnsi="Times New Roman Regular" w:eastAsia="Times New Roman" w:cs="Times New Roman Regular"/>
          <w:i w:val="0"/>
          <w:sz w:val="24"/>
          <w:szCs w:val="24"/>
        </w:rPr>
        <w:fldChar w:fldCharType="begin"/>
      </w:r>
      <w:r>
        <w:rPr>
          <w:rFonts w:hint="eastAsia" w:ascii="Times New Roman Regular" w:hAnsi="Times New Roman Regular" w:eastAsia="Times New Roman" w:cs="Times New Roman Regular"/>
          <w:i w:val="0"/>
          <w:sz w:val="24"/>
          <w:szCs w:val="24"/>
        </w:rPr>
        <w:instrText xml:space="preserve"> HYPERLINK "https://doi.org/10.1186/s12966-024-01702-7" </w:instrText>
      </w:r>
      <w:r>
        <w:rPr>
          <w:rFonts w:hint="eastAsia" w:ascii="Times New Roman Regular" w:hAnsi="Times New Roman Regular" w:eastAsia="Times New Roman" w:cs="Times New Roman Regular"/>
          <w:i w:val="0"/>
          <w:sz w:val="24"/>
          <w:szCs w:val="24"/>
        </w:rPr>
        <w:fldChar w:fldCharType="separate"/>
      </w:r>
      <w:r>
        <w:rPr>
          <w:rStyle w:val="7"/>
          <w:rFonts w:hint="eastAsia" w:ascii="Times New Roman Regular" w:hAnsi="Times New Roman Regular" w:eastAsia="Times New Roman" w:cs="Times New Roman Regular"/>
          <w:i w:val="0"/>
          <w:sz w:val="24"/>
          <w:szCs w:val="24"/>
        </w:rPr>
        <w:t>https://doi.org/10.1186/s12966-024-01702-7</w:t>
      </w:r>
      <w:r>
        <w:rPr>
          <w:rFonts w:hint="eastAsia" w:ascii="Times New Roman Regular" w:hAnsi="Times New Roman Regular" w:eastAsia="Times New Roman" w:cs="Times New Roman Regular"/>
          <w:i w:val="0"/>
          <w:sz w:val="24"/>
          <w:szCs w:val="24"/>
        </w:rPr>
        <w:fldChar w:fldCharType="end"/>
      </w:r>
    </w:p>
    <w:p w14:paraId="5E8C87B4">
      <w:pPr>
        <w:rPr>
          <w:rFonts w:hint="eastAsia"/>
          <w:lang w:val="en-US" w:eastAsia="zh-CN"/>
        </w:rPr>
      </w:pPr>
    </w:p>
    <w:p w14:paraId="6FB93B31">
      <w:pPr>
        <w:rPr>
          <w:rFonts w:hint="eastAsia"/>
          <w:lang w:val="en-US" w:eastAsia="zh-CN"/>
        </w:rPr>
      </w:pPr>
    </w:p>
    <w:p w14:paraId="42A609BB">
      <w:pPr>
        <w:rPr>
          <w:rFonts w:hint="eastAsia"/>
          <w:lang w:val="en-US" w:eastAsia="zh-CN"/>
        </w:rPr>
      </w:pPr>
    </w:p>
    <w:p w14:paraId="51202E69">
      <w:pPr>
        <w:rPr>
          <w:rFonts w:hint="eastAsia"/>
          <w:lang w:val="en-US" w:eastAsia="zh-CN"/>
        </w:rPr>
      </w:pPr>
    </w:p>
    <w:p w14:paraId="244F6BE4">
      <w:pPr>
        <w:rPr>
          <w:rFonts w:hint="eastAsia"/>
          <w:lang w:val="en-US" w:eastAsia="zh-CN"/>
        </w:rPr>
      </w:pPr>
    </w:p>
    <w:p w14:paraId="3752055A">
      <w:pPr>
        <w:rPr>
          <w:rFonts w:hint="eastAsia"/>
          <w:lang w:val="en-US" w:eastAsia="zh-CN"/>
        </w:rPr>
      </w:pPr>
    </w:p>
    <w:p w14:paraId="0C4F60DF">
      <w:pPr>
        <w:rPr>
          <w:rFonts w:hint="eastAsia"/>
          <w:lang w:val="en-US" w:eastAsia="zh-CN"/>
        </w:rPr>
      </w:pPr>
    </w:p>
    <w:p w14:paraId="0E3FDEE9">
      <w:pPr>
        <w:rPr>
          <w:rFonts w:hint="eastAsia"/>
          <w:lang w:val="en-US" w:eastAsia="zh-CN"/>
        </w:rPr>
      </w:pPr>
    </w:p>
    <w:p w14:paraId="5866B312">
      <w:pPr>
        <w:rPr>
          <w:rFonts w:hint="eastAsia"/>
          <w:lang w:val="en-US" w:eastAsia="zh-CN"/>
        </w:rPr>
      </w:pPr>
    </w:p>
    <w:p w14:paraId="6646D7E5">
      <w:pPr>
        <w:rPr>
          <w:rFonts w:hint="eastAsia"/>
          <w:lang w:val="en-US" w:eastAsia="zh-CN"/>
        </w:rPr>
      </w:pPr>
    </w:p>
    <w:p w14:paraId="625BFA66">
      <w:pPr>
        <w:rPr>
          <w:rFonts w:hint="eastAsia"/>
          <w:lang w:val="en-US" w:eastAsia="zh-CN"/>
        </w:rPr>
      </w:pPr>
    </w:p>
    <w:p w14:paraId="474E1C5A">
      <w:pPr>
        <w:rPr>
          <w:rFonts w:hint="eastAsia"/>
          <w:lang w:val="en-US" w:eastAsia="zh-CN"/>
        </w:rPr>
      </w:pPr>
    </w:p>
    <w:p w14:paraId="2C293BC6">
      <w:pPr>
        <w:rPr>
          <w:rFonts w:hint="eastAsia"/>
          <w:lang w:val="en-US" w:eastAsia="zh-CN"/>
        </w:rPr>
      </w:pPr>
    </w:p>
    <w:p w14:paraId="5DB396F9">
      <w:pPr>
        <w:rPr>
          <w:rFonts w:hint="eastAsia"/>
          <w:lang w:val="en-US" w:eastAsia="zh-CN"/>
        </w:rPr>
      </w:pPr>
    </w:p>
    <w:p w14:paraId="3A4572EA">
      <w:pPr>
        <w:rPr>
          <w:rFonts w:hint="eastAsia"/>
          <w:lang w:val="en-US" w:eastAsia="zh-CN"/>
        </w:rPr>
      </w:pPr>
    </w:p>
    <w:p w14:paraId="6703855D">
      <w:pPr>
        <w:rPr>
          <w:rFonts w:hint="eastAsia"/>
          <w:lang w:val="en-US" w:eastAsia="zh-CN"/>
        </w:rPr>
      </w:pPr>
    </w:p>
    <w:p w14:paraId="42B987A1">
      <w:pPr>
        <w:numPr>
          <w:ilvl w:val="0"/>
          <w:numId w:val="0"/>
        </w:numPr>
        <w:spacing w:before="0" w:after="0" w:line="276" w:lineRule="auto"/>
        <w:rPr>
          <w:rFonts w:hint="default" w:eastAsia="宋体"/>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FF075A"/>
    <w:multiLevelType w:val="singleLevel"/>
    <w:tmpl w:val="F7FF075A"/>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6BF8A9F"/>
    <w:rsid w:val="27F5F050"/>
    <w:rsid w:val="38FF75AF"/>
    <w:rsid w:val="3F7FD65F"/>
    <w:rsid w:val="3FFFACB3"/>
    <w:rsid w:val="6ECF4427"/>
    <w:rsid w:val="7DEFE7AA"/>
    <w:rsid w:val="7FFEE196"/>
    <w:rsid w:val="9FFB3EB0"/>
    <w:rsid w:val="D1F7FCC3"/>
    <w:rsid w:val="D6BF8A9F"/>
    <w:rsid w:val="DEFE6D2D"/>
    <w:rsid w:val="E6F77C06"/>
    <w:rsid w:val="EADFC5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iPriority="99"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276" w:lineRule="auto"/>
    </w:pPr>
    <w:rPr>
      <w:rFonts w:ascii="Times New Roman" w:hAnsi="Times New Roman" w:eastAsia="Times New Roman" w:cs="Times New Roman"/>
      <w:sz w:val="24"/>
      <w:szCs w:val="22"/>
      <w:lang w:val="en-US" w:eastAsia="en-US" w:bidi="ar-SA"/>
    </w:rPr>
  </w:style>
  <w:style w:type="paragraph" w:styleId="2">
    <w:name w:val="heading 1"/>
    <w:basedOn w:val="1"/>
    <w:next w:val="1"/>
    <w:qFormat/>
    <w:uiPriority w:val="9"/>
    <w:pPr>
      <w:keepNext/>
      <w:keepLines/>
      <w:spacing w:before="100" w:after="20" w:line="276" w:lineRule="auto"/>
      <w:outlineLvl w:val="0"/>
    </w:pPr>
    <w:rPr>
      <w:rFonts w:ascii="Times New Roman" w:hAnsi="Times New Roman" w:eastAsia="Times New Roman" w:cs="Times New Roman"/>
      <w:b/>
      <w:bCs/>
      <w:color w:val="000000"/>
      <w:sz w:val="24"/>
      <w:szCs w:val="28"/>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annotation text"/>
    <w:basedOn w:val="1"/>
    <w:semiHidden/>
    <w:unhideWhenUsed/>
    <w:uiPriority w:val="99"/>
    <w:pPr>
      <w:jc w:val="left"/>
    </w:p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30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2026-09-06T23:02:00Z</dcterms:created>
  <dc:creator>Ataraxia</dc:creator>
  <cp:lastModifiedBy>Ataraxia</cp:lastModifiedBy>
  <dcterms:modified xsi:type="dcterms:W3CDTF">2026-09-16T19:12:23Z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9B7FC24DE19D6954998E9D6A4544F918_41</vt:lpwstr>
  </property>
</Properties>
</file>