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02C42">
      <w:pPr>
        <w:spacing w:line="48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3.2</w:t>
      </w:r>
      <w:r>
        <w:rPr>
          <w:rFonts w:hint="default" w:ascii="Times New Roman Bold" w:hAnsi="Times New Roman Bold" w:cs="Times New Roman Bold"/>
          <w:b/>
          <w:bCs/>
          <w:sz w:val="24"/>
          <w:szCs w:val="24"/>
          <w:lang w:val="en-US" w:eastAsia="zh-CN"/>
        </w:rPr>
        <w:t xml:space="preserve"> </w:t>
      </w:r>
      <w:r>
        <w:rPr>
          <w:rFonts w:hint="default" w:ascii="Times New Roman Bold" w:hAnsi="Times New Roman Bold" w:cs="Times New Roman Bold"/>
          <w:b/>
          <w:bCs/>
          <w:sz w:val="24"/>
          <w:szCs w:val="24"/>
        </w:rPr>
        <w:t>Confirmatory factor analysis (CFA)</w:t>
      </w:r>
    </w:p>
    <w:p w14:paraId="695466A5">
      <w:pPr>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Prior to testing the structural relationships among the latent variables, a series of confirmatory factor analyses (CFAs) was conducted to evaluate the psychometric properties (i.e., factorial validity, reliability, and discriminant validity) of all self-report scales used in this study. According to the two-step modeling approach (Anderson &amp; Gerbing, 1988), establishing a well-fitting measurement model is a prerequisite for validly estimating the subsequent structural paths in the mediation and moderated mediation models. Firstly, five confirmatory factor analyses were conducted to build the measurement models prior to structural equation modeling. The single-factor structure of the BPS scale showed acceptable to good model fit: χ2 (23) = 57.12 (p &lt; .001), CFI = 0.98, TLI = 0.98, RMSEA = 0.05, SRMR = 0.02. Regarding the single-factor structure of the rMEQ scale, the result of modeling fit was good: χ2 (5) = 8.82 (p = .116), CFI = 0.99, TLI = 0.98, RMSEA = 0.04, SRMR = 0.02. The single-factor structure of the PAQ-AD scale showed good model fit: χ2 (13) = 41.42 (p &lt; .001), CFI = 0.98, TLI = 0.97, RMSEA = 0.06, SRMR = 0.03. About the single-factor BSMAS scale, the result of modeling fit was acceptable: χ2 (8) = 24.75 (p = .002), CFI = 0.99, TLI = 0.98, RMSEA = 0.06, SRMR = 0.02. The two-factor structure of the PHQ scale showed good model fit: χ2 (23) = 96.02 (p &lt; .001), CFI = 0.97, TLI = 0.95, RMSEA = 0.08, SRMR = 0.03. </w:t>
      </w:r>
    </w:p>
    <w:p w14:paraId="422307A9">
      <w:pPr>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Additionally, the combined CFA was performed on the four-factor measurement model (Model 1) including academic stress, social media addiction, depressive symptoms, and bedtime procrastination. The model showed a satisfactory fit: χ2 (366) = 806.88 (p &lt; .001), CFI = 0.94, TLI = 0.93, RMSEA = 0.05, SRMR = 0.05, supporting the discriminant validity among the four constructs.</w:t>
      </w:r>
    </w:p>
    <w:p w14:paraId="067DB9FB">
      <w:pPr>
        <w:spacing w:line="48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3.3</w:t>
      </w:r>
      <w:r>
        <w:rPr>
          <w:rFonts w:hint="default" w:ascii="Times New Roman Bold" w:hAnsi="Times New Roman Bold" w:cs="Times New Roman Bold"/>
          <w:b/>
          <w:bCs/>
          <w:sz w:val="24"/>
          <w:szCs w:val="24"/>
          <w:lang w:val="en-US" w:eastAsia="zh-CN"/>
        </w:rPr>
        <w:t xml:space="preserve"> </w:t>
      </w:r>
      <w:r>
        <w:rPr>
          <w:rFonts w:hint="default" w:ascii="Times New Roman Bold" w:hAnsi="Times New Roman Bold" w:cs="Times New Roman Bold"/>
          <w:b/>
          <w:bCs/>
          <w:sz w:val="24"/>
          <w:szCs w:val="24"/>
        </w:rPr>
        <w:t>Measurement invariance between two different waves</w:t>
      </w:r>
      <w:bookmarkStart w:id="0" w:name="_GoBack"/>
      <w:bookmarkEnd w:id="0"/>
    </w:p>
    <w:p w14:paraId="6F4598A6">
      <w:pPr>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Multi-group confirmatory factor analyses were conducted to test measurement invariance across the two data collection waves for the three latent constructs involved in the structural model. For bedtime procrastination, metric invariance was supported, Δχ²(8) = 3.41, p = .906, ΔCFI = .003, and although the chi-square difference test indicated non-invariance at the scalar level, Δχ²(8) = 28.47, p &lt; .001, the change in CFI was small (ΔCFI = .01), leading a sufficient metric invariance to justify pooling the two waves for subsequent analyses. For depressive symptoms, both metric invariance, Δχ²(8) = 21.23, p = .006, ΔCFI = .005, and scalar invariance, Δχ²(8) = 13.49, p = .096, ΔCFI = .002, were supported. For social media addiction, full measurement invariance was supported at both the metric,Δχ²(5) = 9.30, p = .098, ΔCFI = .002, and scalar levels, Δχ²(5) = 8.37, p = .137, ΔCFI = .002. Wave was additionally retained as a covariate in all structural models to account for any residual batch-related variance. Based on the above analysis showing that two data waves present good measurement invariance, we decided to combine two data waves to analyze.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E7F739"/>
    <w:rsid w:val="3FA97258"/>
    <w:rsid w:val="F9E7F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2026-09-02T12:30:00Z</dcterms:created>
  <dc:creator>Ataraxia</dc:creator>
  <cp:lastModifiedBy>Ataraxia</cp:lastModifiedBy>
  <dcterms:modified xsi:type="dcterms:W3CDTF">2026-09-02T12:32:53Z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10A2A5E848133DE3D6FA976AEB2713AD_41</vt:lpwstr>
  </property>
</Properties>
</file>