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9939A">
      <w:pPr>
        <w:spacing w:line="48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3.4</w:t>
      </w:r>
      <w:r>
        <w:rPr>
          <w:rFonts w:hint="default" w:ascii="Times New Roman Bold" w:hAnsi="Times New Roman Bold" w:cs="Times New Roman Bold"/>
          <w:b/>
          <w:bCs/>
          <w:sz w:val="24"/>
          <w:szCs w:val="24"/>
          <w:lang w:val="en-US" w:eastAsia="zh-CN"/>
        </w:rPr>
        <w:t xml:space="preserve"> </w:t>
      </w:r>
      <w:r>
        <w:rPr>
          <w:rFonts w:hint="default" w:ascii="Times New Roman Bold" w:hAnsi="Times New Roman Bold" w:cs="Times New Roman Bold"/>
          <w:b/>
          <w:bCs/>
          <w:sz w:val="24"/>
          <w:szCs w:val="24"/>
        </w:rPr>
        <w:t>Alternative model comparison</w:t>
      </w:r>
    </w:p>
    <w:p w14:paraId="38D38C3A">
      <w:pPr>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Results were robust to an alternative model specification (reversing the mediator order) and to alternative estimation approaches (see Supplementary Materials for details).</w:t>
      </w:r>
    </w:p>
    <w:p w14:paraId="1F268998">
      <w:pPr>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test the robustness of the hypothesized chain-mediated path sequence, we constructed a competing alternative model that swapped the positions of social media addiction and depressive symptoms (i.e., academic stress → depressive symptoms → social media addiction → bedtime procrastination). The AKaike Information Criterion (AIC) and Bayesian Information Criterion (BIC) were used to compare the main model with this alternative model.</w:t>
      </w:r>
    </w:p>
    <w:p w14:paraId="20415248">
      <w:pPr>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Results showed that our proposed main model (AIC = 29932.45, BIC = 30267.33) substantially outperformed the competing alternative model (AIC = 31538.70, BIC = 31882.17), with differences in both information criteria exceeding 1600. These findings indicate that the sequential path placing social media addiction prior to depressive symptoms has a significant relative advantage, further supporting the hypothesized “behavioral avoidance → emotional exhaustion” chain-evolutionary pathway.</w:t>
      </w:r>
    </w:p>
    <w:p w14:paraId="18DE10DB">
      <w:pPr>
        <w:spacing w:line="480" w:lineRule="auto"/>
        <w:rPr>
          <w:rFonts w:hint="default" w:ascii="Times New Roman Bold" w:hAnsi="Times New Roman Bold" w:cs="Times New Roman Bold"/>
          <w:b/>
          <w:bCs/>
          <w:sz w:val="24"/>
          <w:szCs w:val="24"/>
        </w:rPr>
      </w:pPr>
      <w:bookmarkStart w:id="0" w:name="_GoBack"/>
      <w:r>
        <w:rPr>
          <w:rFonts w:hint="default" w:ascii="Times New Roman Bold" w:hAnsi="Times New Roman Bold" w:cs="Times New Roman Bold"/>
          <w:b/>
          <w:bCs/>
          <w:sz w:val="24"/>
          <w:szCs w:val="24"/>
        </w:rPr>
        <w:t>3.5</w:t>
      </w:r>
      <w:r>
        <w:rPr>
          <w:rFonts w:hint="default" w:ascii="Times New Roman Bold" w:hAnsi="Times New Roman Bold" w:cs="Times New Roman Bold"/>
          <w:b/>
          <w:bCs/>
          <w:sz w:val="24"/>
          <w:szCs w:val="24"/>
          <w:lang w:val="en-US" w:eastAsia="zh-CN"/>
        </w:rPr>
        <w:t xml:space="preserve"> </w:t>
      </w:r>
      <w:r>
        <w:rPr>
          <w:rFonts w:hint="default" w:ascii="Times New Roman Bold" w:hAnsi="Times New Roman Bold" w:cs="Times New Roman Bold"/>
          <w:b/>
          <w:bCs/>
          <w:sz w:val="24"/>
          <w:szCs w:val="24"/>
        </w:rPr>
        <w:t>Sensitivity analysis for model 1 and model 2</w:t>
      </w:r>
    </w:p>
    <w:bookmarkEnd w:id="0"/>
    <w:p w14:paraId="60C6C713">
      <w:pPr>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To examine whether our conclusions were sensitive to the choice of estimator, we re-estimated the chain mediation model (Model 1) using robust maximum likelihood (MLR) estimation. The MLR-corrected model fit indices (CFI = 0.94, RMSEA = 0.04, SRMR = 0.05) were highly consistent with those from conventional maximum likelihood (ML) estimation (CFI = 0.94, RMSEA = 0.05, SRMR = 0.05). </w:t>
      </w:r>
    </w:p>
    <w:p w14:paraId="5A21C4AB">
      <w:pPr>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Critically, the significance levels of all core paths remained unchanged: all originally significant paths (e.g., a1, a2, d21, c_SM, b1) remained significant (all p &lt; .001), and the originally non-significant direct effect (c’) remained non-significant (p = .412). The total indirect effect also remained significant (b = 0.117, p &lt; .001), confirming the robustness of the mediation findings to the estimation method.</w:t>
      </w:r>
    </w:p>
    <w:p w14:paraId="7A2E5D5B">
      <w:pPr>
        <w:spacing w:line="48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the moderated mediation model (Model 2), because the latent moderated structural equation (LMS) approach relies on numerical integration and may be senstive to model specification, we conducted an additional robustness check using observed-variable factor scores with Bootstrap resampling (5000 draws; BCa correction). The Bootstrap 95% CI for the interaction term (Depressive symptoms×Chronotype) was [-3.218, -0.901], which does not include zero. This result is highly consistent with the original LMS estimate (b = -0.298, p &lt; .001) in both direction and significance, demonstrating that the moderating effect is robust to alternative modeling approaches.</w:t>
      </w:r>
    </w:p>
    <w:p w14:paraId="05BF690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BF0D98"/>
    <w:rsid w:val="FDBF0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2026-09-02T12:36:00Z</dcterms:created>
  <dc:creator>Ataraxia</dc:creator>
  <cp:lastModifiedBy>Ataraxia</cp:lastModifiedBy>
  <dcterms:modified xsi:type="dcterms:W3CDTF">2026-09-02T12:37:27Z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4B7E5B3FFC370C0024FC976A8EE6D110_41</vt:lpwstr>
  </property>
</Properties>
</file>