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CDBEB4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Figure 3</w:t>
      </w:r>
    </w:p>
    <w:p w14:paraId="65C01C8B">
      <w:pP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</w:pPr>
      <w:r>
        <w:rPr>
          <w:rFonts w:hint="eastAsia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t>Uns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t>tandardized path coefficients of the latent moderated mediation model</w:t>
      </w:r>
      <w:r>
        <w:rPr>
          <w:rFonts w:hint="eastAsia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t xml:space="preserve"> (Final)</w:t>
      </w:r>
    </w:p>
    <w:p w14:paraId="5722F7D4">
      <w:pP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</w:pP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drawing>
          <wp:inline distT="0" distB="0" distL="114300" distR="114300">
            <wp:extent cx="5256530" cy="3119120"/>
            <wp:effectExtent l="0" t="0" r="1270" b="5080"/>
            <wp:docPr id="2" name="图片 2" descr="未命名绘图-第 2 页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未命名绘图-第 2 页.drawio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19EC">
      <w:pPr>
        <w:rPr>
          <w:rFonts w:hint="eastAsia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t>Note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>. Values represent unstandardized coefficients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(B). SM = Social Media Addiction; DP = Depressive Symptom</w:t>
      </w:r>
      <w:bookmarkStart w:id="0" w:name="_GoBack"/>
      <w:bookmarkEnd w:id="0"/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; BP = Bedtime Procrastination.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>Solid lines indicate statistically significant paths (p&lt;.05); dashed lines indicate non-significant paths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>(p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>&gt;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>.05). The interaction term (Depressive Symptoms × Chronotype) was estimated using the Latent Moderated Structural Equations (LMS) approach with robust standard errors. For visual clarity, non-significant covariate paths (Age, Gender, Wave) are not depicted in the figure but are controlled for.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</w:t>
      </w:r>
    </w:p>
    <w:p w14:paraId="227F3B1C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cs="Times New Roman"/>
          <w:b w:val="0"/>
          <w:bCs w:val="0"/>
          <w:i/>
          <w:iCs/>
          <w:sz w:val="24"/>
          <w:szCs w:val="24"/>
          <w:vertAlign w:val="superscript"/>
          <w:lang w:val="en-US" w:eastAsia="zh-CN"/>
        </w:rPr>
        <w:t>2</w:t>
      </w:r>
      <w:r>
        <w:rPr>
          <w:rFonts w:hint="eastAsia" w:ascii="Times New Roman" w:hAnsi="Times New Roman" w:cs="Times New Roman"/>
          <w:b w:val="0"/>
          <w:bCs w:val="0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>values for endogenous variables are as follows: SM = .12, DP = .30, and BP = .38 in the chain mediation model (Model 2; see Table 4 for full estimates); and SM = .12, DP = .30, and BP = .56 in the moderated mediation model (Model 3; see Table 6 for full estimates).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The substantial increase in 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cs="Times New Roman"/>
          <w:b w:val="0"/>
          <w:bCs w:val="0"/>
          <w:i/>
          <w:iCs/>
          <w:sz w:val="24"/>
          <w:szCs w:val="24"/>
          <w:vertAlign w:val="superscript"/>
          <w:lang w:val="en-US" w:eastAsia="zh-CN"/>
        </w:rPr>
        <w:t xml:space="preserve">2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>for BP (from .38 to .56) indicates that Chronotype significantly enhances the model's explanatory power for bedtime procrastination.</w:t>
      </w:r>
    </w:p>
    <w:p w14:paraId="1FFC4C22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>*p &lt; .05. **p &lt; .01. ***p &lt; .001.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6FDADB"/>
    <w:rsid w:val="345F65C3"/>
    <w:rsid w:val="57713F27"/>
    <w:rsid w:val="64DFBA7D"/>
    <w:rsid w:val="6BBA2BBF"/>
    <w:rsid w:val="6F8FDA95"/>
    <w:rsid w:val="6FD71D08"/>
    <w:rsid w:val="7CFEE213"/>
    <w:rsid w:val="7EE2C435"/>
    <w:rsid w:val="7F6FDADB"/>
    <w:rsid w:val="A97F14F0"/>
    <w:rsid w:val="B89F118A"/>
    <w:rsid w:val="F9D538FA"/>
    <w:rsid w:val="FFDFC45E"/>
    <w:rsid w:val="FFEBA7D9"/>
    <w:rsid w:val="FFFEAB43"/>
    <w:rsid w:val="FFFEB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2026-08-01T06:26:00Z</dcterms:created>
  <dc:creator>Ataraxia</dc:creator>
  <cp:lastModifiedBy>Ataraxia</cp:lastModifiedBy>
  <dcterms:modified xsi:type="dcterms:W3CDTF">2026-07-31T11:06:49Z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AC591BB592B4C7EE81EE6A6ABFF3EE65_41</vt:lpwstr>
  </property>
</Properties>
</file>