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0D992" w14:textId="77777777" w:rsidR="00FA5CEB" w:rsidRPr="001C4EC0" w:rsidRDefault="00FA5CEB" w:rsidP="00FA5CEB">
      <w:pPr>
        <w:pStyle w:val="Ttulo1"/>
      </w:pPr>
      <w:r w:rsidRPr="001C4EC0">
        <w:t>Caso Distribuciones Andina Comercial S.A.S. (2021–2025): Diagnóstico estratégico–financiero y decisiones de creación de valor</w:t>
      </w:r>
    </w:p>
    <w:p w14:paraId="43B77D4C" w14:textId="77777777" w:rsidR="00FA5CEB" w:rsidRDefault="00FA5CEB" w:rsidP="00FA5CEB">
      <w:pPr>
        <w:jc w:val="both"/>
      </w:pPr>
      <w:r>
        <w:t>Distribuciones Andina Comercial S.A.S. es una distribuidora B2B colombiana que atiende principalmente a empresas de los sectores construcción, industrial, comercio especializado e integradores de seguridad. Su negocio consiste en abastecer a estos clientes con equipos de seguridad electrónica, tecnología de redes y herramientas industriales, ofreciendo disponibilidad inmediata de inventario, rapidez en entrega y acompañamiento técnico para reducir errores de compra e instalación. La compañía no compite por ser la opción más barata, sino por combinar un portafolio amplio —mezcla de marcas importadas y líneas de marca propia— con tiempos de entrega confiables y soporte preventa y posventa, lo que en la práctica le permite sostener una dinámica comercial estable y un margen bruto consistente en el tiempo.</w:t>
      </w:r>
    </w:p>
    <w:p w14:paraId="714E9C7B" w14:textId="77777777" w:rsidR="00FA5CEB" w:rsidRDefault="00FA5CEB" w:rsidP="00FA5CEB">
      <w:pPr>
        <w:jc w:val="both"/>
      </w:pPr>
      <w:r>
        <w:t>El modelo comercial se apoya en relaciones recurrentes con clientes empresariales que compran varias veces al año y valoran la continuidad del suministro. La empresa opera con una fuerza comercial que gestiona cuentas clave y una operación de atención técnica que recomienda soluciones, define especificaciones y acompaña implementaciones. El contacto con el cliente se da por varios canales: visitas comerciales en cuentas B2B, cotización y pedidos por medios digitales y, de manera creciente hacia 2024–2025, un canal B2B digital que agiliza la consulta de disponibilidad, precios y órdenes. La relación con los clientes se enfoca en fidelización por confiabilidad: disponibilidad de producto, cumplimiento de entrega y soporte técnico, lo cual se refleja en que la empresa busca mantener satisfacción y lealtad como mecanismo para estabilizar ingresos y reducir el costo de adquisición.</w:t>
      </w:r>
    </w:p>
    <w:p w14:paraId="6FD60CA6" w14:textId="77777777" w:rsidR="00FA5CEB" w:rsidRDefault="00FA5CEB" w:rsidP="00FA5CEB">
      <w:pPr>
        <w:jc w:val="both"/>
      </w:pPr>
      <w:r>
        <w:t>La distribución exige una estructura operativa con inventarios significativos para asegurar entrega rápida. Esa decisión estratégica tiene un impacto financiero directo: una parte importante de la caja queda inmovilizada en inventarios y en cuentas por cobrar, ya que la mayoría de las ventas se realiza a crédito con plazos típicos de 30 a 60 días. En consecuencia, la empresa necesita disciplina en capital de trabajo, porque vender más no garantiza recibir efectivo rápidamente. En 2021, por ejemplo, la empresa creció en ventas, pero enfrentó tensión de caja por aumentos en cartera e inventarios; en términos gerenciales, “vendía sin generar caja”. A partir de 2022 se reforzaron políticas de crédito y cobranza, se mejoró la planeación de compras y se renegociaron condiciones con proveedores, buscando reducir el ciclo de conversión de efectivo y estabilizar la liquidez sin sacrificar el nivel de servicio que sustenta la propuesta de valor.</w:t>
      </w:r>
    </w:p>
    <w:p w14:paraId="01B020CA" w14:textId="77777777" w:rsidR="00FA5CEB" w:rsidRDefault="00FA5CEB" w:rsidP="00FA5CEB">
      <w:pPr>
        <w:jc w:val="both"/>
      </w:pPr>
      <w:r>
        <w:t xml:space="preserve">Los aliados clave del negocio son proveedores nacionales e importadores, operadores logísticos, integradores técnicos y entidades financieras. La relación con proveedores es estratégica porque impacta simultáneamente precio de compra, disponibilidad y plazos de pago; por eso la compañía procura acuerdos estables y mutuamente beneficiosos que le permitan asegurar inventario, mejorar descuentos por volumen y sostener plazos que no </w:t>
      </w:r>
      <w:r>
        <w:lastRenderedPageBreak/>
        <w:t>presionen la caja. Adicionalmente, el financiamiento bancario cumple un rol de respaldo operativo: al ser un negocio con capital de trabajo elevado, la compañía utiliza obligaciones financieras de corto plazo para cubrir picos de inventario o cartera y deuda de largo plazo para inversiones estructurales en infraestructura y tecnología. Este punto es crucial para el análisis: el crecimiento del negocio debe estar soportado por una estructura de financiamiento coherente con el riesgo, de modo que el endeudamiento no se convierta en una solución permanente para cubrir ineficiencias de operación.</w:t>
      </w:r>
    </w:p>
    <w:p w14:paraId="5CE688D3" w14:textId="77777777" w:rsidR="00FA5CEB" w:rsidRDefault="00FA5CEB" w:rsidP="00FA5CEB">
      <w:pPr>
        <w:jc w:val="both"/>
      </w:pPr>
      <w:r>
        <w:t>En términos de actividades clave, la compañía concentra su ejecución en la gestión del portafolio y abastecimiento, negociación con proveedores, administración de inventarios, operación de bodega y despacho, gestión comercial B2B, soporte técnico, cobranza y control financiero. En recursos clave, depende de talento comercial y técnico, sistemas de información (ERP y herramientas de gestión de pedidos), infraestructura logística (bodega y capacidad de alistamiento), reputación de cumplimiento y relaciones comerciales construidas con clientes y proveedores. La digitalización aparece como un recurso y actividad clave creciente desde 2024: la empresa invierte en una plataforma B2B y mejoras logísticas para aumentar productividad, disminuir fricción en pedidos y reducir costos de atención, buscando escalar sin que los gastos crezcan al mismo ritmo que las ventas.</w:t>
      </w:r>
    </w:p>
    <w:p w14:paraId="131BDD46" w14:textId="77777777" w:rsidR="00FA5CEB" w:rsidRDefault="00FA5CEB" w:rsidP="00FA5CEB">
      <w:pPr>
        <w:jc w:val="both"/>
      </w:pPr>
      <w:r>
        <w:t>La estructura de ingresos se basa en ventas mayoristas de productos físicos, con ingresos concentrados en contratos recurrentes y compras periódicas de clientes empresariales. El ingreso no depende solo del volumen, sino también de la mezcla de portafolio: la marca propia y ciertos productos de valor agregado mejoran la captura de valor. La estructura de costos está dominada por el costo de la mercancía vendida (compra de productos), gastos de ventas (fuerza comercial, logística comercial) y gastos de administración (operación, soporte, sistemas), además de depreciaciones asociadas a la infraestructura. Dado que el negocio requiere inventario y crédito comercial, el costo financiero también es un componente relevante: la empresa debe gestionar la deuda con disciplina para que los intereses no erosionen la rentabilidad operativa y para que la liquidez no dependa de endeudamiento creciente.</w:t>
      </w:r>
    </w:p>
    <w:p w14:paraId="2F049003" w14:textId="77777777" w:rsidR="00FA5CEB" w:rsidRDefault="00FA5CEB" w:rsidP="00FA5CEB">
      <w:pPr>
        <w:jc w:val="both"/>
      </w:pPr>
      <w:r>
        <w:t xml:space="preserve">En síntesis, Distribuciones Andina Comercial S.A.S. busca sostener su competitividad combinando diferenciación por servicio —disponibilidad, entrega y soporte técnico— con disciplina financiera en capital de trabajo y estructura de financiamiento. El éxito del modelo depende de que la preferencia del cliente se traduzca en márgenes suficientes, que las ventas se conviertan en la caja mediante control de cartera e inventarios, que las inversiones en tecnología y logística se justifiquen por mejoras de productividad y que el financiamiento se use para habilitar el crecimiento, no para ocultar fragilidades operativas. Con esta narrativa, un estudiante puede construir un </w:t>
      </w:r>
      <w:proofErr w:type="spellStart"/>
      <w:r>
        <w:t>Canvas</w:t>
      </w:r>
      <w:proofErr w:type="spellEnd"/>
      <w:r>
        <w:t xml:space="preserve"> identificando segmentos B2B, propuesta de valor basada en disponibilidad y soporte, canales mixtos presencial/digital, relación de largo plazo, actividades de abastecimiento-logística-venta, recursos de talento-sistemas-bodega, aliados proveedores-bancos-logística, ingresos por ventas mayoristas y costos dominados por mercancía, operación y financiamiento.</w:t>
      </w:r>
    </w:p>
    <w:p w14:paraId="5D1584CD" w14:textId="77777777" w:rsidR="00FA5CEB" w:rsidRDefault="00FA5CEB" w:rsidP="00FA5CEB">
      <w:pPr>
        <w:jc w:val="both"/>
      </w:pPr>
    </w:p>
    <w:p w14:paraId="14E1EF01" w14:textId="77777777" w:rsidR="00FA5CEB" w:rsidRDefault="00FA5CEB"/>
    <w:sectPr w:rsidR="00FA5CE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CEB"/>
    <w:rsid w:val="00CD5229"/>
    <w:rsid w:val="00FA5CE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DEDD0"/>
  <w15:chartTrackingRefBased/>
  <w15:docId w15:val="{A8E5E0B2-C4E6-4549-8FA8-E88AFD3A2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CEB"/>
    <w:pPr>
      <w:spacing w:line="259" w:lineRule="auto"/>
    </w:pPr>
    <w:rPr>
      <w:rFonts w:eastAsiaTheme="minorEastAsia"/>
      <w:kern w:val="0"/>
      <w:sz w:val="22"/>
      <w:szCs w:val="22"/>
      <w14:ligatures w14:val="none"/>
    </w:rPr>
  </w:style>
  <w:style w:type="paragraph" w:styleId="Ttulo1">
    <w:name w:val="heading 1"/>
    <w:basedOn w:val="Normal"/>
    <w:next w:val="Normal"/>
    <w:link w:val="Ttulo1Car"/>
    <w:uiPriority w:val="9"/>
    <w:qFormat/>
    <w:rsid w:val="00FA5C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A5C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A5C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A5C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A5C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A5CE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5CE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5CE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5CE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5CE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A5CE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A5CE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A5CE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A5CE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A5CE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5CE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5CE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5CEB"/>
    <w:rPr>
      <w:rFonts w:eastAsiaTheme="majorEastAsia" w:cstheme="majorBidi"/>
      <w:color w:val="272727" w:themeColor="text1" w:themeTint="D8"/>
    </w:rPr>
  </w:style>
  <w:style w:type="paragraph" w:styleId="Ttulo">
    <w:name w:val="Title"/>
    <w:basedOn w:val="Normal"/>
    <w:next w:val="Normal"/>
    <w:link w:val="TtuloCar"/>
    <w:uiPriority w:val="10"/>
    <w:qFormat/>
    <w:rsid w:val="00FA5C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5CE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5CE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5CE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5CEB"/>
    <w:pPr>
      <w:spacing w:before="160"/>
      <w:jc w:val="center"/>
    </w:pPr>
    <w:rPr>
      <w:i/>
      <w:iCs/>
      <w:color w:val="404040" w:themeColor="text1" w:themeTint="BF"/>
    </w:rPr>
  </w:style>
  <w:style w:type="character" w:customStyle="1" w:styleId="CitaCar">
    <w:name w:val="Cita Car"/>
    <w:basedOn w:val="Fuentedeprrafopredeter"/>
    <w:link w:val="Cita"/>
    <w:uiPriority w:val="29"/>
    <w:rsid w:val="00FA5CEB"/>
    <w:rPr>
      <w:i/>
      <w:iCs/>
      <w:color w:val="404040" w:themeColor="text1" w:themeTint="BF"/>
    </w:rPr>
  </w:style>
  <w:style w:type="paragraph" w:styleId="Prrafodelista">
    <w:name w:val="List Paragraph"/>
    <w:basedOn w:val="Normal"/>
    <w:uiPriority w:val="34"/>
    <w:qFormat/>
    <w:rsid w:val="00FA5CEB"/>
    <w:pPr>
      <w:ind w:left="720"/>
      <w:contextualSpacing/>
    </w:pPr>
  </w:style>
  <w:style w:type="character" w:styleId="nfasisintenso">
    <w:name w:val="Intense Emphasis"/>
    <w:basedOn w:val="Fuentedeprrafopredeter"/>
    <w:uiPriority w:val="21"/>
    <w:qFormat/>
    <w:rsid w:val="00FA5CEB"/>
    <w:rPr>
      <w:i/>
      <w:iCs/>
      <w:color w:val="0F4761" w:themeColor="accent1" w:themeShade="BF"/>
    </w:rPr>
  </w:style>
  <w:style w:type="paragraph" w:styleId="Citadestacada">
    <w:name w:val="Intense Quote"/>
    <w:basedOn w:val="Normal"/>
    <w:next w:val="Normal"/>
    <w:link w:val="CitadestacadaCar"/>
    <w:uiPriority w:val="30"/>
    <w:qFormat/>
    <w:rsid w:val="00FA5C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A5CEB"/>
    <w:rPr>
      <w:i/>
      <w:iCs/>
      <w:color w:val="0F4761" w:themeColor="accent1" w:themeShade="BF"/>
    </w:rPr>
  </w:style>
  <w:style w:type="character" w:styleId="Referenciaintensa">
    <w:name w:val="Intense Reference"/>
    <w:basedOn w:val="Fuentedeprrafopredeter"/>
    <w:uiPriority w:val="32"/>
    <w:qFormat/>
    <w:rsid w:val="00FA5C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1020</Words>
  <Characters>5610</Characters>
  <Application>Microsoft Office Word</Application>
  <DocSecurity>0</DocSecurity>
  <Lines>46</Lines>
  <Paragraphs>13</Paragraphs>
  <ScaleCrop>false</ScaleCrop>
  <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Mario Ortega</dc:creator>
  <cp:keywords/>
  <dc:description/>
  <cp:lastModifiedBy>Jorge Mario Ortega</cp:lastModifiedBy>
  <cp:revision>1</cp:revision>
  <dcterms:created xsi:type="dcterms:W3CDTF">2026-03-14T14:01:00Z</dcterms:created>
  <dcterms:modified xsi:type="dcterms:W3CDTF">2026-03-14T14:02:00Z</dcterms:modified>
</cp:coreProperties>
</file>