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emacs(рис. 1).</w:t>
      </w:r>
    </w:p>
    <w:p>
      <w:pPr>
        <w:pStyle w:val="CaptionedFigure"/>
      </w:pPr>
      <w:r>
        <w:drawing>
          <wp:inline>
            <wp:extent cx="3686475" cy="3542096"/>
            <wp:effectExtent b="0" l="0" r="0" t="0"/>
            <wp:docPr descr="Открыли emacs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Открыли emacs</w:t>
      </w:r>
    </w:p>
    <w:p>
      <w:pPr>
        <w:pStyle w:val="BodyText"/>
      </w:pPr>
      <w:r>
        <w:t xml:space="preserve">Создали файл lab07.sh с помощью комбинации Ctrl-x Ctrl-f и набрали текст(рис. 2).</w:t>
      </w:r>
    </w:p>
    <w:p>
      <w:pPr>
        <w:pStyle w:val="CaptionedFigure"/>
      </w:pPr>
      <w:r>
        <w:drawing>
          <wp:inline>
            <wp:extent cx="2637322" cy="1222408"/>
            <wp:effectExtent b="0" l="0" r="0" t="0"/>
            <wp:docPr descr="Создали файл lab07.sh с помощью комбинации Ctrl-x Ctrl-f и набрали текст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Создали файл lab07.sh с помощью комбинации Ctrl-x Ctrl-f и набрали текст</w:t>
      </w:r>
    </w:p>
    <w:p>
      <w:pPr>
        <w:pStyle w:val="BodyText"/>
      </w:pPr>
      <w:r>
        <w:t xml:space="preserve">Вырезали одной командой целую строку (С-k) и вставили эту строку в конец файла (C-y)(рис. 3).</w:t>
      </w:r>
    </w:p>
    <w:p>
      <w:pPr>
        <w:pStyle w:val="CaptionedFigure"/>
      </w:pPr>
      <w:r>
        <w:drawing>
          <wp:inline>
            <wp:extent cx="3733800" cy="2306988"/>
            <wp:effectExtent b="0" l="0" r="0" t="0"/>
            <wp:docPr descr="Вырезали строку и вставили в конец файла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Вырезали строку и вставили в конец файла</w:t>
      </w:r>
    </w:p>
    <w:p>
      <w:pPr>
        <w:pStyle w:val="BodyText"/>
      </w:pPr>
      <w:r>
        <w:t xml:space="preserve">Выделили область текста (C-space) и скопировали область в буфер обмена (M-w).(рис. 4).</w:t>
      </w:r>
    </w:p>
    <w:p>
      <w:pPr>
        <w:pStyle w:val="CaptionedFigure"/>
      </w:pPr>
      <w:r>
        <w:drawing>
          <wp:inline>
            <wp:extent cx="3599848" cy="1212783"/>
            <wp:effectExtent b="0" l="0" r="0" t="0"/>
            <wp:docPr descr="Выделили область текста и скопировали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Выделили область текста и скопировали</w:t>
      </w:r>
    </w:p>
    <w:p>
      <w:pPr>
        <w:pStyle w:val="BodyText"/>
      </w:pPr>
      <w:r>
        <w:t xml:space="preserve">Вставили область текста в конец файла(рис. 5).</w:t>
      </w:r>
    </w:p>
    <w:p>
      <w:pPr>
        <w:pStyle w:val="CaptionedFigure"/>
      </w:pPr>
      <w:r>
        <w:drawing>
          <wp:inline>
            <wp:extent cx="3282214" cy="1501541"/>
            <wp:effectExtent b="0" l="0" r="0" t="0"/>
            <wp:docPr descr="Вставили область текста в конец файла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Вставили область текста в конец файла</w:t>
      </w:r>
    </w:p>
    <w:p>
      <w:pPr>
        <w:pStyle w:val="BodyText"/>
      </w:pPr>
      <w:r>
        <w:t xml:space="preserve">Вновь выделили эту область и на этот раз вырезали её (C-w)(рис. 6).</w:t>
      </w:r>
    </w:p>
    <w:p>
      <w:pPr>
        <w:pStyle w:val="CaptionedFigure"/>
      </w:pPr>
      <w:r>
        <w:drawing>
          <wp:inline>
            <wp:extent cx="3638349" cy="1559292"/>
            <wp:effectExtent b="0" l="0" r="0" t="0"/>
            <wp:docPr descr="Вновь выделили эту область и на этот раз вырезали её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Вновь выделили эту область и на этот раз вырезали её</w:t>
      </w:r>
    </w:p>
    <w:p>
      <w:pPr>
        <w:pStyle w:val="BodyText"/>
      </w:pPr>
      <w:r>
        <w:t xml:space="preserve">Отменили последнее действие (C-/).(рис. 7).</w:t>
      </w:r>
    </w:p>
    <w:p>
      <w:pPr>
        <w:pStyle w:val="CaptionedFigure"/>
      </w:pPr>
      <w:r>
        <w:drawing>
          <wp:inline>
            <wp:extent cx="3282214" cy="1501541"/>
            <wp:effectExtent b="0" l="0" r="0" t="0"/>
            <wp:docPr descr="Отменили последнее действие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Отменили последнее действие</w:t>
      </w:r>
    </w:p>
    <w:p>
      <w:pPr>
        <w:pStyle w:val="BodyText"/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строки, в конец строки, в начало буфера, в конец буфера.</w:t>
      </w:r>
    </w:p>
    <w:p>
      <w:pPr>
        <w:pStyle w:val="BodyText"/>
      </w:pPr>
      <w:r>
        <w:t xml:space="preserve">Вывели список активных буферов на экран (C-x C-b).(рис. 8).</w:t>
      </w:r>
    </w:p>
    <w:p>
      <w:pPr>
        <w:pStyle w:val="CaptionedFigure"/>
      </w:pPr>
      <w:r>
        <w:drawing>
          <wp:inline>
            <wp:extent cx="3733800" cy="2866535"/>
            <wp:effectExtent b="0" l="0" r="0" t="0"/>
            <wp:docPr descr="Вывели список активных буферов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Вывели список активных буферов</w:t>
      </w:r>
    </w:p>
    <w:p>
      <w:pPr>
        <w:pStyle w:val="BodyText"/>
      </w:pPr>
      <w:r>
        <w:t xml:space="preserve">Переместились во вновь открытое окно (C-x) o со списком открытых буферов и переключились на другой буфер.(рис. 9).</w:t>
      </w:r>
    </w:p>
    <w:p>
      <w:pPr>
        <w:pStyle w:val="CaptionedFigure"/>
      </w:pPr>
      <w:r>
        <w:drawing>
          <wp:inline>
            <wp:extent cx="3733800" cy="2306988"/>
            <wp:effectExtent b="0" l="0" r="0" t="0"/>
            <wp:docPr descr="Переместились в открытое окно со списком открытых буферов и переключились на другой буфер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Переместились в открытое окно со списком открытых буферов и переключились на другой буфер</w:t>
      </w:r>
    </w:p>
    <w:p>
      <w:pPr>
        <w:pStyle w:val="BodyText"/>
      </w:pPr>
      <w:r>
        <w:t xml:space="preserve">Теперь вновь переключилсь между буферами, но уже без вывода их списка на экран (C-x b)(рис. 10).</w:t>
      </w:r>
    </w:p>
    <w:p>
      <w:pPr>
        <w:pStyle w:val="CaptionedFigure"/>
      </w:pPr>
      <w:r>
        <w:drawing>
          <wp:inline>
            <wp:extent cx="3733800" cy="4626871"/>
            <wp:effectExtent b="0" l="0" r="0" t="0"/>
            <wp:docPr descr="Вновь переключились между буферами" title="" id="49" name="Picture"/>
            <a:graphic>
              <a:graphicData uri="http://schemas.openxmlformats.org/drawingml/2006/picture">
                <pic:pic>
                  <pic:nvPicPr>
                    <pic:cNvPr descr="image/6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Вновь переключились между буферами</w:t>
      </w:r>
    </w:p>
    <w:p>
      <w:pPr>
        <w:pStyle w:val="BodyText"/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2). В каждом из четырёх созданных окон открыли новый буфер (файл) и ввели несколько строк текста(рис. 11).</w:t>
      </w:r>
    </w:p>
    <w:p>
      <w:pPr>
        <w:pStyle w:val="CaptionedFigure"/>
      </w:pPr>
      <w:r>
        <w:drawing>
          <wp:inline>
            <wp:extent cx="3686475" cy="4071486"/>
            <wp:effectExtent b="0" l="0" r="0" t="0"/>
            <wp:docPr descr="Поделили фрейм на 4 части и в каждом из четырёх созданных окон открыли новый буфер (файл)" title="" id="52" name="Picture"/>
            <a:graphic>
              <a:graphicData uri="http://schemas.openxmlformats.org/drawingml/2006/picture">
                <pic:pic>
                  <pic:nvPicPr>
                    <pic:cNvPr descr="image/6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Поделили фрейм на 4 части и в каждом из четырёх созданных окон открыли новый буфер (файл)</w:t>
      </w:r>
    </w:p>
    <w:p>
      <w:pPr>
        <w:pStyle w:val="BodyText"/>
      </w:pPr>
      <w:r>
        <w:t xml:space="preserve">Перешли в режим поиска и замены (M-%), ввели текст, который следует найти (рис. 12).</w:t>
      </w:r>
    </w:p>
    <w:p>
      <w:pPr>
        <w:pStyle w:val="CaptionedFigure"/>
      </w:pPr>
      <w:r>
        <w:drawing>
          <wp:inline>
            <wp:extent cx="3733800" cy="2785989"/>
            <wp:effectExtent b="0" l="0" r="0" t="0"/>
            <wp:docPr descr="Перешли в режим поиска и замены (M-%), ввели текст, который следует найти" title="" id="55" name="Picture"/>
            <a:graphic>
              <a:graphicData uri="http://schemas.openxmlformats.org/drawingml/2006/picture">
                <pic:pic>
                  <pic:nvPicPr>
                    <pic:cNvPr descr="image/6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Перешли в режим поиска и замены (M-%), ввели текст, который следует найти</w:t>
      </w:r>
    </w:p>
    <w:p>
      <w:pPr>
        <w:pStyle w:val="BodyText"/>
      </w:pPr>
      <w:r>
        <w:t xml:space="preserve">Заменили текст(рис. 13).</w:t>
      </w:r>
    </w:p>
    <w:p>
      <w:pPr>
        <w:pStyle w:val="CaptionedFigure"/>
      </w:pPr>
      <w:r>
        <w:drawing>
          <wp:inline>
            <wp:extent cx="1953928" cy="1328286"/>
            <wp:effectExtent b="0" l="0" r="0" t="0"/>
            <wp:docPr descr="Заменили текст" title="" id="58" name="Picture"/>
            <a:graphic>
              <a:graphicData uri="http://schemas.openxmlformats.org/drawingml/2006/picture">
                <pic:pic>
                  <pic:nvPicPr>
                    <pic:cNvPr descr="image/6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28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Заменили текст</w:t>
      </w:r>
    </w:p>
    <w:p>
      <w:pPr>
        <w:pStyle w:val="BodyText"/>
      </w:pPr>
      <w:r>
        <w:t xml:space="preserve">Испробовали другой режим поиска, нажав M-s (рис. 14).</w:t>
      </w:r>
    </w:p>
    <w:p>
      <w:pPr>
        <w:pStyle w:val="CaptionedFigure"/>
      </w:pPr>
      <w:r>
        <w:drawing>
          <wp:inline>
            <wp:extent cx="1790298" cy="1973178"/>
            <wp:effectExtent b="0" l="0" r="0" t="0"/>
            <wp:docPr descr="Испробовали другой режим поиска, нажав M-s" title="" id="61" name="Picture"/>
            <a:graphic>
              <a:graphicData uri="http://schemas.openxmlformats.org/drawingml/2006/picture">
                <pic:pic>
                  <pic:nvPicPr>
                    <pic:cNvPr descr="image/6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8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Испробовали другой режим поиска, нажав M-s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больше познакомились с операционной системой Linux. Получили практические навыки работы с редактором Emacs.</w:t>
      </w:r>
    </w:p>
    <w:bookmarkEnd w:id="64"/>
    <w:bookmarkStart w:id="6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Краткая характеристика редактора Emacs</w:t>
      </w:r>
    </w:p>
    <w:p>
      <w:pPr>
        <w:pStyle w:val="FirstParagraph"/>
      </w:pPr>
      <w:r>
        <w:t xml:space="preserve">Emacs — расширяемый кроссплатформенный текстовый редактор, работающий в терминале и графическом режиме. В Fedora устанавливается пакетом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emacs-nox</w:t>
      </w:r>
      <w:r>
        <w:t xml:space="preserve"> </w:t>
      </w:r>
      <w:r>
        <w:t xml:space="preserve">(консольная версия). Поддерживает:</w:t>
      </w:r>
    </w:p>
    <w:p>
      <w:pPr>
        <w:numPr>
          <w:ilvl w:val="0"/>
          <w:numId w:val="1002"/>
        </w:numPr>
      </w:pPr>
      <w:r>
        <w:t xml:space="preserve">Гибкую работу в терминале под Sway/Wayland</w:t>
      </w:r>
    </w:p>
    <w:p>
      <w:pPr>
        <w:numPr>
          <w:ilvl w:val="0"/>
          <w:numId w:val="1002"/>
        </w:numPr>
      </w:pPr>
      <w:r>
        <w:t xml:space="preserve">Полную интеграцию с shell-окружением</w:t>
      </w:r>
    </w:p>
    <w:p>
      <w:pPr>
        <w:numPr>
          <w:ilvl w:val="0"/>
          <w:numId w:val="1002"/>
        </w:numPr>
      </w:pPr>
      <w:r>
        <w:t xml:space="preserve">Управление через клавиатуру (важно для tiling WM)</w:t>
      </w:r>
    </w:p>
    <w:p>
      <w:pPr>
        <w:pStyle w:val="Compact"/>
        <w:numPr>
          <w:ilvl w:val="0"/>
          <w:numId w:val="1003"/>
        </w:numPr>
      </w:pPr>
      <w:r>
        <w:t xml:space="preserve">Особенности, осложняющие освоение в Sway</w:t>
      </w:r>
    </w:p>
    <w:p>
      <w:pPr>
        <w:numPr>
          <w:ilvl w:val="0"/>
          <w:numId w:val="1004"/>
        </w:numPr>
      </w:pPr>
      <w:r>
        <w:t xml:space="preserve">Комбинации клавиш могут конфликтовать с хоткеями Sway (например,</w:t>
      </w:r>
      <w:r>
        <w:t xml:space="preserve"> </w:t>
      </w:r>
      <w:r>
        <w:rPr>
          <w:rStyle w:val="VerbatimChar"/>
        </w:rPr>
        <w:t xml:space="preserve">Mod+C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Отсутствие графического меню по умолчанию</w:t>
      </w:r>
    </w:p>
    <w:p>
      <w:pPr>
        <w:numPr>
          <w:ilvl w:val="0"/>
          <w:numId w:val="1004"/>
        </w:numPr>
      </w:pPr>
      <w:r>
        <w:t xml:space="preserve">Сложность переключения между буферами без мыши</w:t>
      </w:r>
    </w:p>
    <w:p>
      <w:pPr>
        <w:pStyle w:val="Compact"/>
        <w:numPr>
          <w:ilvl w:val="0"/>
          <w:numId w:val="1005"/>
        </w:numPr>
      </w:pPr>
      <w:r>
        <w:t xml:space="preserve">Буфер и окно в терминологии Emacs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Буфер</w:t>
      </w:r>
      <w:r>
        <w:t xml:space="preserve"> </w:t>
      </w:r>
      <w:r>
        <w:t xml:space="preserve">- аналог вкладки (файл, процесс, лог)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Окно</w:t>
      </w:r>
      <w:r>
        <w:t xml:space="preserve"> </w:t>
      </w:r>
      <w:r>
        <w:t xml:space="preserve">- область отображения (в терминале - разделённые</w:t>
      </w:r>
      <w:r>
        <w:t xml:space="preserve"> </w:t>
      </w:r>
      <w:r>
        <w:rPr>
          <w:rStyle w:val="VerbatimChar"/>
        </w:rPr>
        <w:t xml:space="preserve">tmux</w:t>
      </w:r>
      <w:r>
        <w:t xml:space="preserve">-подобные области)</w:t>
      </w:r>
    </w:p>
    <w:p>
      <w:pPr>
        <w:pStyle w:val="Compact"/>
        <w:numPr>
          <w:ilvl w:val="0"/>
          <w:numId w:val="1007"/>
        </w:numPr>
      </w:pPr>
      <w:r>
        <w:t xml:space="preserve">Можно ли открыть 10 буферов в одном окне?</w:t>
      </w:r>
    </w:p>
    <w:p>
      <w:pPr>
        <w:pStyle w:val="FirstParagraph"/>
      </w:pPr>
      <w:r>
        <w:t xml:space="preserve">Да, ограничений нет.</w:t>
      </w:r>
    </w:p>
    <w:p>
      <w:pPr>
        <w:numPr>
          <w:ilvl w:val="0"/>
          <w:numId w:val="1008"/>
        </w:numPr>
      </w:pPr>
      <w:r>
        <w:t xml:space="preserve">Стандартные буферы при запуске: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*scratch*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*Messages*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*GNU Emacs*</w:t>
      </w:r>
    </w:p>
    <w:p>
      <w:pPr>
        <w:numPr>
          <w:ilvl w:val="0"/>
          <w:numId w:val="1008"/>
        </w:numPr>
      </w:pPr>
      <w:r>
        <w:t xml:space="preserve">Ввод комбинаций: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C-c |</w:t>
      </w:r>
      <w:r>
        <w:t xml:space="preserve">: Ctrl+c, затем Shift+</w:t>
      </w:r>
      <w:r>
        <w:br/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C-c C-|</w:t>
      </w:r>
      <w:r>
        <w:t xml:space="preserve">: Ctrl+c, затем (с зажатым Ctrl) Shift+</w:t>
      </w:r>
      <w:r>
        <w:br/>
      </w:r>
    </w:p>
    <w:p>
      <w:pPr>
        <w:numPr>
          <w:ilvl w:val="0"/>
          <w:numId w:val="1008"/>
        </w:numPr>
      </w:pPr>
      <w:r>
        <w:t xml:space="preserve">Разделение окна:</w:t>
      </w:r>
    </w:p>
    <w:p>
      <w:pPr>
        <w:numPr>
          <w:ilvl w:val="1"/>
          <w:numId w:val="1011"/>
        </w:numPr>
      </w:pPr>
      <w:r>
        <w:t xml:space="preserve">Горизонтально:</w:t>
      </w:r>
      <w:r>
        <w:t xml:space="preserve"> </w:t>
      </w:r>
      <w:r>
        <w:rPr>
          <w:rStyle w:val="VerbatimChar"/>
        </w:rPr>
        <w:t xml:space="preserve">C-x 2</w:t>
      </w:r>
    </w:p>
    <w:p>
      <w:pPr>
        <w:numPr>
          <w:ilvl w:val="1"/>
          <w:numId w:val="1011"/>
        </w:numPr>
      </w:pPr>
      <w:r>
        <w:t xml:space="preserve">Вертикально:</w:t>
      </w:r>
      <w:r>
        <w:t xml:space="preserve"> </w:t>
      </w:r>
      <w:r>
        <w:rPr>
          <w:rStyle w:val="VerbatimChar"/>
        </w:rPr>
        <w:t xml:space="preserve">C-x 3</w:t>
      </w:r>
    </w:p>
    <w:p>
      <w:pPr>
        <w:numPr>
          <w:ilvl w:val="0"/>
          <w:numId w:val="1008"/>
        </w:numPr>
      </w:pPr>
      <w:r>
        <w:t xml:space="preserve">Файлы настроек: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~/.emacs.d/init.el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~/.config/emacs/early-init.el</w:t>
      </w:r>
    </w:p>
    <w:p>
      <w:pPr>
        <w:numPr>
          <w:ilvl w:val="0"/>
          <w:numId w:val="1008"/>
        </w:numPr>
      </w:pPr>
      <w:r>
        <w:t xml:space="preserve">Клавиша Esc:</w:t>
      </w:r>
    </w:p>
    <w:p>
      <w:pPr>
        <w:numPr>
          <w:ilvl w:val="1"/>
          <w:numId w:val="1013"/>
        </w:numPr>
      </w:pPr>
      <w:r>
        <w:t xml:space="preserve">Выполняет функцию Meta-клавиши</w:t>
      </w:r>
    </w:p>
    <w:p>
      <w:pPr>
        <w:numPr>
          <w:ilvl w:val="1"/>
          <w:numId w:val="1013"/>
        </w:numPr>
      </w:pPr>
      <w:r>
        <w:t xml:space="preserve">Можно переназначить через</w:t>
      </w:r>
      <w:r>
        <w:t xml:space="preserve"> </w:t>
      </w:r>
      <w:r>
        <w:rPr>
          <w:rStyle w:val="VerbatimChar"/>
        </w:rPr>
        <w:t xml:space="preserve">(global-set-key)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Vi</w:t>
      </w:r>
      <w:r>
        <w:t xml:space="preserve"> </w:t>
      </w:r>
      <w:r>
        <w:t xml:space="preserve">предпочтительнее в Linux Fedora со Sway, потому что:</w:t>
      </w:r>
    </w:p>
    <w:p>
      <w:pPr>
        <w:numPr>
          <w:ilvl w:val="0"/>
          <w:numId w:val="1014"/>
        </w:numPr>
      </w:pPr>
      <w:r>
        <w:t xml:space="preserve">Имеет более эргономичные сочетания клавиш, не конфликтующие с хоткеями Sway</w:t>
      </w:r>
    </w:p>
    <w:p>
      <w:pPr>
        <w:numPr>
          <w:ilvl w:val="0"/>
          <w:numId w:val="1014"/>
        </w:numPr>
      </w:pPr>
      <w:r>
        <w:t xml:space="preserve">Быстрее запускается и работает в терминальном режиме</w:t>
      </w:r>
    </w:p>
    <w:p>
      <w:pPr>
        <w:numPr>
          <w:ilvl w:val="0"/>
          <w:numId w:val="1014"/>
        </w:numPr>
      </w:pPr>
      <w:r>
        <w:t xml:space="preserve">Лучше интегрируется с tiling window manager (нативное разделение окон)</w:t>
      </w:r>
    </w:p>
    <w:p>
      <w:pPr>
        <w:numPr>
          <w:ilvl w:val="0"/>
          <w:numId w:val="1014"/>
        </w:numPr>
      </w:pPr>
      <w:r>
        <w:t xml:space="preserve">Требует меньше ресурсов для базового использования</w:t>
      </w:r>
    </w:p>
    <w:p>
      <w:pPr>
        <w:numPr>
          <w:ilvl w:val="0"/>
          <w:numId w:val="1014"/>
        </w:numPr>
      </w:pPr>
      <w:r>
        <w:t xml:space="preserve">Более стандартизированная навигация (hjkl)</w:t>
      </w:r>
    </w:p>
    <w:p>
      <w:pPr>
        <w:numPr>
          <w:ilvl w:val="0"/>
          <w:numId w:val="1014"/>
        </w:numPr>
      </w:pPr>
      <w:r>
        <w:t xml:space="preserve">Удобнее для администрирования системы и быстрого редактирования конфигов</w:t>
      </w:r>
    </w:p>
    <w:p>
      <w:pPr>
        <w:numPr>
          <w:ilvl w:val="0"/>
          <w:numId w:val="1014"/>
        </w:numPr>
      </w:pPr>
      <w:r>
        <w:t xml:space="preserve">Имеет предустановленную версию (vi) во всех дистрибутивах Linux</w:t>
      </w:r>
    </w:p>
    <w:p>
      <w:pPr>
        <w:numPr>
          <w:ilvl w:val="0"/>
          <w:numId w:val="1014"/>
        </w:numPr>
      </w:pPr>
      <w:r>
        <w:t xml:space="preserve">Лучше подходит для работы через SSH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Юсупова Ксения Равилевна</dc:creator>
  <dc:language>ru-RU</dc:language>
  <cp:keywords/>
  <dcterms:created xsi:type="dcterms:W3CDTF">2025-04-23T19:28:57Z</dcterms:created>
  <dcterms:modified xsi:type="dcterms:W3CDTF">2025-04-23T19:28:57Z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emacs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