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56"/>
        <w:gridCol w:w="2312"/>
        <w:gridCol w:w="1958"/>
        <w:gridCol w:w="2276"/>
      </w:tblGrid>
      <w:tr>
        <w:trPr>
          <w:cantSplit/>
          <w:trHeight w:val="6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Overall, N = 23,225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case, N = 3,933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control, N = 19,292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10,969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1,854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9,115 (47%)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12,256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2,079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10,177 (53%)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Average 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 (12)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 (12)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 (12)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Civil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14,153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2,411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11,742 (61%)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2,702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433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2,269 (12%)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Widower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4,224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726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3,498 (18%)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2,146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363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1,783 (9.2%)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Place of birth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Greater Copenhagen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4,856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831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4,025 (21%)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Big cities of 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7,922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1,356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6,566 (34%)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Rest of 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9,008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1,548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7,460 (39%)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Greenland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241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 (1.0%)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Foreign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1,064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942 (4.9%)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 (0.6%)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Place of residence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Greater Copenhagen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1,887 (8.1%)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335 (8.5%)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1,552 (8.0%)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Big cities of 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9,384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1,590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7,794 (40%)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Rest of 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11,954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2,008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9,946 (52%)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Family 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1 (Highest)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2,337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1,886 (9.8%)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2,838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499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2,339 (12%)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4,359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785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3,574 (19%)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6,595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1,076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5,519 (29%)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5 (Lowest)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4,417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716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3,701 (19%)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9 (Unknown)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2,679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406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2,273 (12%)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PM2.5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12.61 (2.64)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12.64 (2.68)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12.60 (2.63)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(%); Mean (SD)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2021-10-11T21:01:39Z</dcterms:modified>
  <cp:category/>
</cp:coreProperties>
</file>