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19"/>
        <w:gridCol w:w="2312"/>
        <w:gridCol w:w="1958"/>
        <w:gridCol w:w="2276"/>
      </w:tblGrid>
      <w:tr>
        <w:trPr>
          <w:cantSplit/>
          <w:trHeight w:val="60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23,898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case, N = 3,983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control, N = 19,915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11,214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1,869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9,345 (47%)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12,684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2,114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10,570 (53%)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Civil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14,539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2,446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12,093 (61%)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2,819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2,377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Widower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4,288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729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3,559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2,249 (9.4%)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366 (9.2%)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1,883 (9.5%)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birth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Greater Copenhagen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4,991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844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4,147 (21%)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 Major Cities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8,116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1,367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6,749 (34%)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9,170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1,556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7,614 (38%)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 (1.3%)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 (1.2%)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1,160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132 (3.3%)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1,028 (5.2%)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154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(0.7%)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Place of residence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Capital Region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7,959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1,339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6,620 (33%)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Cities &gt;50K 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3,771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3,151 (16%)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Rest of 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11,954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1,996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9,958 (50%)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Greenland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(0.2%)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173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150 (0.8%)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Family 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1 (Highest)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2,427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1,970 (9.9%)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2,912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2,406 (12%)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4,451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794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3,657 (18%)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6,727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1,080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5,647 (28%)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5 (Lowest)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4,521 (19%)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723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3,798 (19%)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 9 (Unemployed)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2,860 (12%)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 (11%)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2,437 (12%)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2022-06-15T17:25:01Z</dcterms:modified>
  <cp:category/>
</cp:coreProperties>
</file>