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A470" w14:textId="77777777" w:rsidR="00FE212B" w:rsidRDefault="00000000">
      <w:pPr>
        <w:pStyle w:val="a4"/>
        <w:rPr>
          <w:rFonts w:hint="eastAsia"/>
        </w:rPr>
      </w:pPr>
      <w:r>
        <w:rPr>
          <w:rFonts w:hint="eastAsia"/>
        </w:rPr>
        <w:t>面向中亚跨境物流的多语种智能服务与供应链韧性协同关键技术研发与示范</w:t>
      </w:r>
    </w:p>
    <w:p w14:paraId="36F8B5EC" w14:textId="77777777" w:rsidR="00FE212B" w:rsidRDefault="00000000">
      <w:pPr>
        <w:pStyle w:val="a4"/>
        <w:rPr>
          <w:rFonts w:hint="eastAsia"/>
          <w:sz w:val="28"/>
          <w:szCs w:val="28"/>
        </w:rPr>
      </w:pPr>
      <w:r>
        <w:rPr>
          <w:rFonts w:hint="eastAsia"/>
        </w:rPr>
        <w:t>自治区重点研发专项申报分工方案</w:t>
      </w:r>
    </w:p>
    <w:p w14:paraId="2D7B7C20" w14:textId="77777777" w:rsidR="00FE212B" w:rsidRDefault="00FE212B">
      <w:pPr>
        <w:pStyle w:val="1"/>
        <w:keepNext/>
        <w:keepLines/>
        <w:spacing w:beforeAutospacing="0" w:afterAutospacing="0" w:line="560" w:lineRule="exact"/>
        <w:ind w:firstLineChars="200" w:firstLine="640"/>
        <w:rPr>
          <w:rFonts w:ascii="黑体" w:eastAsia="黑体" w:hAnsi="黑体" w:cs="黑体"/>
          <w:b w:val="0"/>
          <w:bCs w:val="0"/>
          <w:sz w:val="32"/>
          <w:szCs w:val="32"/>
        </w:rPr>
      </w:pPr>
    </w:p>
    <w:p w14:paraId="338CB351" w14:textId="77777777" w:rsidR="00FE212B" w:rsidRDefault="00000000">
      <w:pPr>
        <w:pStyle w:val="1"/>
        <w:keepNext/>
        <w:keepLines/>
        <w:spacing w:beforeAutospacing="0" w:afterAutospacing="0" w:line="560" w:lineRule="exact"/>
        <w:ind w:firstLineChars="200" w:firstLine="640"/>
        <w:rPr>
          <w:rFonts w:ascii="黑体" w:eastAsia="黑体" w:hAnsi="黑体" w:cs="黑体"/>
          <w:b w:val="0"/>
          <w:bCs w:val="0"/>
          <w:sz w:val="32"/>
          <w:szCs w:val="32"/>
        </w:rPr>
      </w:pPr>
      <w:r>
        <w:rPr>
          <w:rFonts w:ascii="黑体" w:eastAsia="黑体" w:hAnsi="黑体" w:cs="黑体"/>
          <w:b w:val="0"/>
          <w:bCs w:val="0"/>
          <w:sz w:val="32"/>
          <w:szCs w:val="32"/>
        </w:rPr>
        <w:t>一、项目总体概况</w:t>
      </w:r>
    </w:p>
    <w:p w14:paraId="77424DEA" w14:textId="77777777" w:rsidR="00FE212B" w:rsidRDefault="00000000">
      <w:pPr>
        <w:pStyle w:val="a3"/>
        <w:ind w:firstLine="616"/>
      </w:pPr>
      <w:r>
        <w:rPr>
          <w:rFonts w:hint="eastAsia"/>
        </w:rPr>
        <w:t>本项目面向</w:t>
      </w:r>
      <w:r>
        <w:rPr>
          <w:rFonts w:hint="eastAsia"/>
        </w:rPr>
        <w:t>2027</w:t>
      </w:r>
      <w:r>
        <w:rPr>
          <w:rFonts w:hint="eastAsia"/>
        </w:rPr>
        <w:t>年自治区重点研发科技专项（现代物流领域）申报指南，聚焦“面向中亚跨境物流的多语种智能服务与供应链韧性协同关键技术研发与示范”方向，由新疆财经大学牵头，联合中南财经政法大学、上海财经大学、新疆大学、中国科学院新疆理化技术研究所、边疆宾馆有限责任公司共同申报。</w:t>
      </w:r>
    </w:p>
    <w:p w14:paraId="0D7B8BB3" w14:textId="77777777" w:rsidR="00FE212B" w:rsidRDefault="00000000">
      <w:pPr>
        <w:pStyle w:val="a3"/>
        <w:ind w:firstLine="616"/>
      </w:pPr>
      <w:r>
        <w:rPr>
          <w:rFonts w:hint="eastAsia"/>
        </w:rPr>
        <w:t>项目下设</w:t>
      </w:r>
      <w:r>
        <w:rPr>
          <w:rFonts w:hint="eastAsia"/>
        </w:rPr>
        <w:t>3</w:t>
      </w:r>
      <w:r>
        <w:rPr>
          <w:rFonts w:hint="eastAsia"/>
        </w:rPr>
        <w:t>个课题，各课题经费分配严格对标指南关键考核指标，确保约束性指标和预期性指标全覆盖。</w:t>
      </w:r>
    </w:p>
    <w:p w14:paraId="0A3F41D6" w14:textId="77777777" w:rsidR="00FE212B" w:rsidRDefault="00FE212B">
      <w:pPr>
        <w:pStyle w:val="1"/>
        <w:keepNext/>
        <w:keepLines/>
        <w:spacing w:beforeAutospacing="0" w:afterAutospacing="0" w:line="560" w:lineRule="exact"/>
        <w:ind w:firstLineChars="200" w:firstLine="640"/>
        <w:rPr>
          <w:rFonts w:ascii="黑体" w:eastAsia="黑体" w:hAnsi="黑体" w:cs="黑体"/>
          <w:b w:val="0"/>
          <w:bCs w:val="0"/>
          <w:sz w:val="32"/>
          <w:szCs w:val="32"/>
        </w:rPr>
      </w:pPr>
    </w:p>
    <w:p w14:paraId="34B048C0" w14:textId="77777777" w:rsidR="00FE212B" w:rsidRDefault="00000000">
      <w:pPr>
        <w:pStyle w:val="1"/>
        <w:keepNext/>
        <w:keepLines/>
        <w:spacing w:beforeAutospacing="0" w:afterAutospacing="0" w:line="560" w:lineRule="exact"/>
        <w:ind w:firstLineChars="200" w:firstLine="640"/>
        <w:rPr>
          <w:rFonts w:ascii="黑体" w:eastAsia="黑体" w:hAnsi="黑体" w:cs="黑体"/>
          <w:b w:val="0"/>
          <w:bCs w:val="0"/>
          <w:sz w:val="32"/>
          <w:szCs w:val="32"/>
        </w:rPr>
      </w:pPr>
      <w:r>
        <w:rPr>
          <w:rFonts w:ascii="黑体" w:eastAsia="黑体" w:hAnsi="黑体" w:cs="黑体"/>
          <w:b w:val="0"/>
          <w:bCs w:val="0"/>
          <w:sz w:val="32"/>
          <w:szCs w:val="32"/>
        </w:rPr>
        <w:t>二、课题分配总表</w:t>
      </w:r>
    </w:p>
    <w:tbl>
      <w:tblPr>
        <w:tblStyle w:val="a5"/>
        <w:tblW w:w="0" w:type="auto"/>
        <w:jc w:val="center"/>
        <w:tblLook w:val="04A0" w:firstRow="1" w:lastRow="0" w:firstColumn="1" w:lastColumn="0" w:noHBand="0" w:noVBand="1"/>
      </w:tblPr>
      <w:tblGrid>
        <w:gridCol w:w="1510"/>
        <w:gridCol w:w="2570"/>
        <w:gridCol w:w="1420"/>
        <w:gridCol w:w="2708"/>
      </w:tblGrid>
      <w:tr w:rsidR="00FE212B" w14:paraId="43C7BA49" w14:textId="77777777">
        <w:trPr>
          <w:jc w:val="center"/>
        </w:trPr>
        <w:tc>
          <w:tcPr>
            <w:tcW w:w="1510" w:type="dxa"/>
            <w:vAlign w:val="center"/>
          </w:tcPr>
          <w:p w14:paraId="6735BE04" w14:textId="77777777" w:rsidR="00FE212B" w:rsidRDefault="00000000">
            <w:pPr>
              <w:jc w:val="center"/>
            </w:pPr>
            <w:r>
              <w:rPr>
                <w:rFonts w:ascii="黑体" w:eastAsia="黑体" w:hAnsi="黑体"/>
                <w:b/>
                <w:sz w:val="24"/>
              </w:rPr>
              <w:t>课题序号</w:t>
            </w:r>
          </w:p>
        </w:tc>
        <w:tc>
          <w:tcPr>
            <w:tcW w:w="2570" w:type="dxa"/>
            <w:vAlign w:val="center"/>
          </w:tcPr>
          <w:p w14:paraId="75637046" w14:textId="77777777" w:rsidR="00FE212B" w:rsidRDefault="00000000">
            <w:pPr>
              <w:jc w:val="center"/>
            </w:pPr>
            <w:r>
              <w:rPr>
                <w:rFonts w:ascii="黑体" w:eastAsia="黑体" w:hAnsi="黑体"/>
                <w:b/>
                <w:sz w:val="24"/>
              </w:rPr>
              <w:t>课题名称</w:t>
            </w:r>
          </w:p>
        </w:tc>
        <w:tc>
          <w:tcPr>
            <w:tcW w:w="1420" w:type="dxa"/>
            <w:vAlign w:val="center"/>
          </w:tcPr>
          <w:p w14:paraId="36C214C4" w14:textId="77777777" w:rsidR="00FE212B" w:rsidRDefault="00000000">
            <w:pPr>
              <w:jc w:val="center"/>
            </w:pPr>
            <w:r>
              <w:rPr>
                <w:rFonts w:ascii="黑体" w:eastAsia="黑体" w:hAnsi="黑体"/>
                <w:b/>
                <w:sz w:val="24"/>
              </w:rPr>
              <w:t>牵头单位</w:t>
            </w:r>
          </w:p>
        </w:tc>
        <w:tc>
          <w:tcPr>
            <w:tcW w:w="2708" w:type="dxa"/>
            <w:vAlign w:val="center"/>
          </w:tcPr>
          <w:p w14:paraId="344E5825" w14:textId="77777777" w:rsidR="00FE212B" w:rsidRDefault="00000000">
            <w:pPr>
              <w:jc w:val="center"/>
            </w:pPr>
            <w:r>
              <w:rPr>
                <w:rFonts w:ascii="黑体" w:eastAsia="黑体" w:hAnsi="黑体"/>
                <w:b/>
                <w:sz w:val="24"/>
              </w:rPr>
              <w:t>参与单位</w:t>
            </w:r>
          </w:p>
        </w:tc>
      </w:tr>
      <w:tr w:rsidR="00FE212B" w14:paraId="0990EFA7" w14:textId="77777777">
        <w:trPr>
          <w:jc w:val="center"/>
        </w:trPr>
        <w:tc>
          <w:tcPr>
            <w:tcW w:w="1510" w:type="dxa"/>
            <w:vAlign w:val="center"/>
          </w:tcPr>
          <w:p w14:paraId="3770DEAD" w14:textId="77777777" w:rsidR="00FE212B" w:rsidRDefault="00000000">
            <w:pPr>
              <w:jc w:val="center"/>
            </w:pPr>
            <w:r>
              <w:rPr>
                <w:rFonts w:ascii="仿宋_GB2312" w:eastAsia="仿宋_GB2312" w:hAnsi="仿宋_GB2312"/>
                <w:sz w:val="24"/>
              </w:rPr>
              <w:t>课题一</w:t>
            </w:r>
          </w:p>
        </w:tc>
        <w:tc>
          <w:tcPr>
            <w:tcW w:w="2570" w:type="dxa"/>
            <w:vAlign w:val="center"/>
          </w:tcPr>
          <w:p w14:paraId="602F22DB" w14:textId="77777777" w:rsidR="00FE212B" w:rsidRDefault="00000000">
            <w:pPr>
              <w:jc w:val="center"/>
            </w:pPr>
            <w:r>
              <w:rPr>
                <w:rFonts w:ascii="仿宋_GB2312" w:eastAsia="仿宋_GB2312" w:hAnsi="仿宋_GB2312" w:hint="eastAsia"/>
                <w:sz w:val="24"/>
              </w:rPr>
              <w:t>中亚跨境物流多语种语料库构建与大模型技术研发</w:t>
            </w:r>
          </w:p>
        </w:tc>
        <w:tc>
          <w:tcPr>
            <w:tcW w:w="1420" w:type="dxa"/>
            <w:vAlign w:val="center"/>
          </w:tcPr>
          <w:p w14:paraId="6890C030" w14:textId="77777777" w:rsidR="00FE212B" w:rsidRDefault="00000000">
            <w:pPr>
              <w:jc w:val="center"/>
            </w:pPr>
            <w:r>
              <w:rPr>
                <w:rFonts w:ascii="仿宋_GB2312" w:eastAsia="仿宋_GB2312" w:hAnsi="仿宋_GB2312" w:hint="eastAsia"/>
                <w:sz w:val="24"/>
              </w:rPr>
              <w:t>上海财经</w:t>
            </w:r>
            <w:r>
              <w:rPr>
                <w:rFonts w:ascii="仿宋_GB2312" w:eastAsia="仿宋_GB2312" w:hAnsi="仿宋_GB2312"/>
                <w:sz w:val="24"/>
              </w:rPr>
              <w:t>大学</w:t>
            </w:r>
          </w:p>
        </w:tc>
        <w:tc>
          <w:tcPr>
            <w:tcW w:w="2708" w:type="dxa"/>
            <w:vAlign w:val="center"/>
          </w:tcPr>
          <w:p w14:paraId="50C16ECA" w14:textId="77777777" w:rsidR="00FE212B" w:rsidRDefault="00000000">
            <w:pPr>
              <w:jc w:val="center"/>
              <w:rPr>
                <w:rFonts w:ascii="仿宋_GB2312" w:eastAsia="仿宋_GB2312" w:hAnsi="仿宋_GB2312" w:hint="eastAsia"/>
                <w:sz w:val="24"/>
              </w:rPr>
            </w:pPr>
            <w:r>
              <w:rPr>
                <w:rFonts w:ascii="仿宋_GB2312" w:eastAsia="仿宋_GB2312" w:hAnsi="仿宋_GB2312"/>
                <w:sz w:val="24"/>
              </w:rPr>
              <w:t>中科院新疆理化所</w:t>
            </w:r>
          </w:p>
          <w:p w14:paraId="5336F527" w14:textId="77777777" w:rsidR="00FE212B" w:rsidRDefault="00000000">
            <w:pPr>
              <w:jc w:val="center"/>
              <w:rPr>
                <w:rFonts w:ascii="仿宋_GB2312" w:eastAsia="仿宋_GB2312" w:hAnsi="仿宋_GB2312" w:hint="eastAsia"/>
                <w:sz w:val="24"/>
              </w:rPr>
            </w:pPr>
            <w:r>
              <w:rPr>
                <w:rFonts w:ascii="仿宋_GB2312" w:eastAsia="仿宋_GB2312" w:hAnsi="仿宋_GB2312" w:hint="eastAsia"/>
                <w:sz w:val="24"/>
              </w:rPr>
              <w:t>新疆财经大学</w:t>
            </w:r>
          </w:p>
          <w:p w14:paraId="7FD2C14B" w14:textId="77777777" w:rsidR="00FE212B" w:rsidRDefault="00000000">
            <w:pPr>
              <w:jc w:val="center"/>
              <w:rPr>
                <w:rFonts w:ascii="仿宋_GB2312" w:eastAsia="仿宋_GB2312" w:hAnsi="仿宋_GB2312" w:hint="eastAsia"/>
                <w:sz w:val="24"/>
              </w:rPr>
            </w:pPr>
            <w:r>
              <w:rPr>
                <w:rFonts w:ascii="仿宋_GB2312" w:eastAsia="仿宋_GB2312" w:hAnsi="仿宋_GB2312"/>
                <w:sz w:val="24"/>
              </w:rPr>
              <w:t>边疆宾馆有限责任公司</w:t>
            </w:r>
          </w:p>
        </w:tc>
      </w:tr>
      <w:tr w:rsidR="00FE212B" w14:paraId="046DCC92" w14:textId="77777777">
        <w:trPr>
          <w:jc w:val="center"/>
        </w:trPr>
        <w:tc>
          <w:tcPr>
            <w:tcW w:w="1510" w:type="dxa"/>
            <w:vAlign w:val="center"/>
          </w:tcPr>
          <w:p w14:paraId="434BDA5D" w14:textId="77777777" w:rsidR="00FE212B" w:rsidRDefault="00000000">
            <w:pPr>
              <w:jc w:val="center"/>
            </w:pPr>
            <w:r>
              <w:rPr>
                <w:rFonts w:ascii="仿宋_GB2312" w:eastAsia="仿宋_GB2312" w:hAnsi="仿宋_GB2312"/>
                <w:sz w:val="24"/>
              </w:rPr>
              <w:t>课题二</w:t>
            </w:r>
          </w:p>
        </w:tc>
        <w:tc>
          <w:tcPr>
            <w:tcW w:w="2570" w:type="dxa"/>
            <w:vAlign w:val="center"/>
          </w:tcPr>
          <w:p w14:paraId="5D547980" w14:textId="77777777" w:rsidR="00FE212B" w:rsidRDefault="00000000">
            <w:pPr>
              <w:jc w:val="center"/>
            </w:pPr>
            <w:r>
              <w:rPr>
                <w:rFonts w:ascii="仿宋_GB2312" w:eastAsia="仿宋_GB2312" w:hAnsi="仿宋_GB2312" w:hint="eastAsia"/>
                <w:sz w:val="24"/>
              </w:rPr>
              <w:t>跨境物流智能感知与弱网环境通信技术研发</w:t>
            </w:r>
          </w:p>
        </w:tc>
        <w:tc>
          <w:tcPr>
            <w:tcW w:w="1420" w:type="dxa"/>
            <w:vAlign w:val="center"/>
          </w:tcPr>
          <w:p w14:paraId="1F70A7D4" w14:textId="77777777" w:rsidR="00FE212B" w:rsidRDefault="00000000">
            <w:pPr>
              <w:jc w:val="center"/>
            </w:pPr>
            <w:r>
              <w:rPr>
                <w:rFonts w:ascii="仿宋_GB2312" w:eastAsia="仿宋_GB2312" w:hAnsi="仿宋_GB2312"/>
                <w:sz w:val="24"/>
              </w:rPr>
              <w:t>边疆宾馆有限责任公司</w:t>
            </w:r>
          </w:p>
        </w:tc>
        <w:tc>
          <w:tcPr>
            <w:tcW w:w="2708" w:type="dxa"/>
            <w:vAlign w:val="center"/>
          </w:tcPr>
          <w:p w14:paraId="725D50BC" w14:textId="77777777" w:rsidR="00FE212B" w:rsidRDefault="00000000">
            <w:pPr>
              <w:jc w:val="center"/>
              <w:rPr>
                <w:rFonts w:ascii="仿宋_GB2312" w:eastAsia="仿宋_GB2312" w:hAnsi="仿宋_GB2312" w:hint="eastAsia"/>
                <w:sz w:val="24"/>
              </w:rPr>
            </w:pPr>
            <w:r>
              <w:rPr>
                <w:rFonts w:ascii="仿宋_GB2312" w:eastAsia="仿宋_GB2312" w:hAnsi="仿宋_GB2312"/>
                <w:sz w:val="24"/>
              </w:rPr>
              <w:t>新疆大学</w:t>
            </w:r>
          </w:p>
          <w:p w14:paraId="3C64F97F" w14:textId="77777777" w:rsidR="00FE212B" w:rsidRDefault="00000000">
            <w:pPr>
              <w:jc w:val="center"/>
              <w:rPr>
                <w:rFonts w:ascii="仿宋_GB2312" w:eastAsia="仿宋_GB2312" w:hAnsi="仿宋_GB2312" w:hint="eastAsia"/>
                <w:sz w:val="24"/>
              </w:rPr>
            </w:pPr>
            <w:r>
              <w:rPr>
                <w:rFonts w:ascii="仿宋_GB2312" w:eastAsia="仿宋_GB2312" w:hAnsi="仿宋_GB2312" w:hint="eastAsia"/>
                <w:sz w:val="24"/>
              </w:rPr>
              <w:t>新疆财经大学</w:t>
            </w:r>
          </w:p>
        </w:tc>
      </w:tr>
      <w:tr w:rsidR="00FE212B" w14:paraId="512A7EF5" w14:textId="77777777">
        <w:trPr>
          <w:jc w:val="center"/>
        </w:trPr>
        <w:tc>
          <w:tcPr>
            <w:tcW w:w="1510" w:type="dxa"/>
            <w:vAlign w:val="center"/>
          </w:tcPr>
          <w:p w14:paraId="326E7D13" w14:textId="77777777" w:rsidR="00FE212B" w:rsidRDefault="00000000">
            <w:pPr>
              <w:jc w:val="center"/>
            </w:pPr>
            <w:r>
              <w:rPr>
                <w:rFonts w:ascii="仿宋_GB2312" w:eastAsia="仿宋_GB2312" w:hAnsi="仿宋_GB2312"/>
                <w:sz w:val="24"/>
              </w:rPr>
              <w:t>课题三</w:t>
            </w:r>
          </w:p>
        </w:tc>
        <w:tc>
          <w:tcPr>
            <w:tcW w:w="2570" w:type="dxa"/>
            <w:vAlign w:val="center"/>
          </w:tcPr>
          <w:p w14:paraId="733C696F" w14:textId="77777777" w:rsidR="00FE212B" w:rsidRDefault="00000000">
            <w:pPr>
              <w:jc w:val="center"/>
            </w:pPr>
            <w:r>
              <w:rPr>
                <w:rFonts w:ascii="仿宋_GB2312" w:eastAsia="仿宋_GB2312" w:hAnsi="仿宋_GB2312" w:hint="eastAsia"/>
                <w:sz w:val="24"/>
              </w:rPr>
              <w:t>跨境物流供应链合规风控、中断预警与韧性保障技术研发及产业化示范</w:t>
            </w:r>
          </w:p>
        </w:tc>
        <w:tc>
          <w:tcPr>
            <w:tcW w:w="1420" w:type="dxa"/>
            <w:vAlign w:val="center"/>
          </w:tcPr>
          <w:p w14:paraId="63F864A1" w14:textId="77777777" w:rsidR="00FE212B" w:rsidRDefault="00000000">
            <w:pPr>
              <w:jc w:val="center"/>
            </w:pPr>
            <w:r>
              <w:rPr>
                <w:rFonts w:ascii="仿宋_GB2312" w:eastAsia="仿宋_GB2312" w:hAnsi="仿宋_GB2312"/>
                <w:sz w:val="24"/>
              </w:rPr>
              <w:t>新疆财经大学</w:t>
            </w:r>
          </w:p>
        </w:tc>
        <w:tc>
          <w:tcPr>
            <w:tcW w:w="2708" w:type="dxa"/>
            <w:vAlign w:val="center"/>
          </w:tcPr>
          <w:p w14:paraId="4D029AEE" w14:textId="77777777" w:rsidR="00FE212B" w:rsidRDefault="00FE212B">
            <w:pPr>
              <w:jc w:val="center"/>
              <w:rPr>
                <w:rFonts w:ascii="仿宋_GB2312" w:eastAsia="仿宋_GB2312" w:hAnsi="仿宋_GB2312" w:hint="eastAsia"/>
                <w:sz w:val="24"/>
              </w:rPr>
            </w:pPr>
          </w:p>
          <w:p w14:paraId="5A658C70" w14:textId="77777777" w:rsidR="00FE212B" w:rsidRDefault="00000000">
            <w:pPr>
              <w:jc w:val="center"/>
              <w:rPr>
                <w:rFonts w:ascii="仿宋_GB2312" w:eastAsia="仿宋_GB2312" w:hAnsi="仿宋_GB2312" w:hint="eastAsia"/>
                <w:sz w:val="24"/>
              </w:rPr>
            </w:pPr>
            <w:r>
              <w:rPr>
                <w:rFonts w:ascii="仿宋_GB2312" w:eastAsia="仿宋_GB2312" w:hAnsi="仿宋_GB2312" w:hint="eastAsia"/>
                <w:sz w:val="24"/>
              </w:rPr>
              <w:t>中南</w:t>
            </w:r>
            <w:r>
              <w:rPr>
                <w:rFonts w:ascii="仿宋_GB2312" w:eastAsia="仿宋_GB2312" w:hAnsi="仿宋_GB2312"/>
                <w:sz w:val="24"/>
              </w:rPr>
              <w:t>财经大学</w:t>
            </w:r>
            <w:r>
              <w:rPr>
                <w:rFonts w:ascii="仿宋_GB2312" w:eastAsia="仿宋_GB2312" w:hAnsi="仿宋_GB2312"/>
                <w:sz w:val="24"/>
              </w:rPr>
              <w:br/>
              <w:t>边疆宾馆有限责任公司</w:t>
            </w:r>
          </w:p>
          <w:p w14:paraId="1E051ECD" w14:textId="77777777" w:rsidR="00FE212B" w:rsidRDefault="00FE212B">
            <w:pPr>
              <w:jc w:val="center"/>
            </w:pPr>
          </w:p>
        </w:tc>
      </w:tr>
    </w:tbl>
    <w:p w14:paraId="3CBC3AB4" w14:textId="77777777" w:rsidR="00FE212B" w:rsidRDefault="00FE212B">
      <w:pPr>
        <w:pStyle w:val="1"/>
        <w:keepNext/>
        <w:keepLines/>
        <w:spacing w:beforeAutospacing="0" w:afterAutospacing="0" w:line="560" w:lineRule="exact"/>
        <w:ind w:firstLineChars="200" w:firstLine="640"/>
        <w:rPr>
          <w:rFonts w:ascii="黑体" w:eastAsia="黑体" w:hAnsi="黑体" w:cs="黑体"/>
          <w:b w:val="0"/>
          <w:bCs w:val="0"/>
          <w:sz w:val="32"/>
          <w:szCs w:val="32"/>
        </w:rPr>
      </w:pPr>
    </w:p>
    <w:p w14:paraId="09CBACEA" w14:textId="77777777" w:rsidR="00FE212B" w:rsidRDefault="00000000">
      <w:pPr>
        <w:pStyle w:val="1"/>
        <w:keepNext/>
        <w:keepLines/>
        <w:spacing w:beforeAutospacing="0" w:afterAutospacing="0" w:line="560" w:lineRule="exact"/>
        <w:ind w:firstLineChars="200" w:firstLine="640"/>
        <w:rPr>
          <w:rFonts w:ascii="黑体" w:eastAsia="黑体" w:hAnsi="黑体" w:cs="黑体"/>
          <w:b w:val="0"/>
          <w:bCs w:val="0"/>
          <w:sz w:val="32"/>
          <w:szCs w:val="32"/>
        </w:rPr>
      </w:pPr>
      <w:r>
        <w:rPr>
          <w:rFonts w:ascii="黑体" w:eastAsia="黑体" w:hAnsi="黑体" w:cs="黑体"/>
          <w:b w:val="0"/>
          <w:bCs w:val="0"/>
          <w:sz w:val="32"/>
          <w:szCs w:val="32"/>
        </w:rPr>
        <w:t>三、具体分工</w:t>
      </w:r>
    </w:p>
    <w:p w14:paraId="564AA992" w14:textId="5C711B53" w:rsidR="00FE212B" w:rsidRDefault="00FE212B">
      <w:pPr>
        <w:pStyle w:val="a3"/>
        <w:ind w:firstLine="616"/>
      </w:pPr>
    </w:p>
    <w:p w14:paraId="61FD61B8" w14:textId="77777777" w:rsidR="00FE212B" w:rsidRDefault="00000000">
      <w:pPr>
        <w:pStyle w:val="a3"/>
        <w:ind w:firstLine="618"/>
        <w:rPr>
          <w:rFonts w:ascii="方正楷体_GBK" w:eastAsia="方正楷体_GBK" w:hAnsi="方正楷体_GBK" w:cs="方正楷体_GBK" w:hint="eastAsia"/>
          <w:b/>
          <w:bCs/>
        </w:rPr>
      </w:pPr>
      <w:r w:rsidRPr="00C91969">
        <w:rPr>
          <w:rFonts w:ascii="方正楷体_GBK" w:eastAsia="方正楷体_GBK" w:hAnsi="方正楷体_GBK" w:cs="方正楷体_GBK" w:hint="eastAsia"/>
          <w:b/>
          <w:bCs/>
          <w:highlight w:val="green"/>
        </w:rPr>
        <w:t>课题二：跨境物流智能感知与弱网环境通信技术研发</w:t>
      </w:r>
    </w:p>
    <w:p w14:paraId="461D11D8" w14:textId="77777777" w:rsidR="00FE212B" w:rsidRDefault="00000000">
      <w:pPr>
        <w:pStyle w:val="a3"/>
        <w:ind w:firstLine="618"/>
        <w:rPr>
          <w:b/>
          <w:bCs/>
        </w:rPr>
      </w:pPr>
      <w:r>
        <w:rPr>
          <w:rFonts w:hint="eastAsia"/>
          <w:b/>
          <w:bCs/>
        </w:rPr>
        <w:t>（一）研究内容</w:t>
      </w:r>
    </w:p>
    <w:p w14:paraId="7708273A" w14:textId="77777777" w:rsidR="00FE212B" w:rsidRDefault="00000000">
      <w:pPr>
        <w:pStyle w:val="a3"/>
        <w:ind w:firstLine="616"/>
      </w:pPr>
      <w:r w:rsidRPr="006A5090">
        <w:rPr>
          <w:rFonts w:hint="eastAsia"/>
          <w:highlight w:val="yellow"/>
        </w:rPr>
        <w:t>1.</w:t>
      </w:r>
      <w:r w:rsidRPr="006A5090">
        <w:rPr>
          <w:rFonts w:hint="eastAsia"/>
          <w:highlight w:val="yellow"/>
        </w:rPr>
        <w:t>研发货物防拆</w:t>
      </w:r>
      <w:r w:rsidRPr="000A1FA5">
        <w:rPr>
          <w:rFonts w:hint="eastAsia"/>
          <w:highlight w:val="yellow"/>
        </w:rPr>
        <w:t>、防盗、防破损智能监测与告警技术，</w:t>
      </w:r>
    </w:p>
    <w:p w14:paraId="7986F291" w14:textId="77777777" w:rsidR="00FE212B" w:rsidRDefault="00000000">
      <w:pPr>
        <w:pStyle w:val="a3"/>
        <w:ind w:firstLine="616"/>
      </w:pPr>
      <w:r>
        <w:rPr>
          <w:rFonts w:hint="eastAsia"/>
        </w:rPr>
        <w:t>基于振动传感器、倾斜传感器、电子封志、光感检测等多模态融合方法，实现货物运输全过程状态实时监测与异常自动告警。研发货物破损智能识别算法，</w:t>
      </w:r>
      <w:r w:rsidRPr="00B32AAD">
        <w:rPr>
          <w:rFonts w:hint="eastAsia"/>
          <w:highlight w:val="cyan"/>
        </w:rPr>
        <w:t>基于图像识别技术自动识别包装破损、变形等异常情况。</w:t>
      </w:r>
    </w:p>
    <w:p w14:paraId="652F652D" w14:textId="77777777" w:rsidR="00FE212B" w:rsidRDefault="00000000">
      <w:pPr>
        <w:pStyle w:val="a3"/>
        <w:ind w:firstLine="616"/>
      </w:pPr>
      <w:r w:rsidRPr="006A5090">
        <w:rPr>
          <w:rFonts w:hint="eastAsia"/>
          <w:highlight w:val="yellow"/>
        </w:rPr>
        <w:t>2.</w:t>
      </w:r>
      <w:r w:rsidRPr="006A5090">
        <w:rPr>
          <w:rFonts w:hint="eastAsia"/>
          <w:highlight w:val="yellow"/>
        </w:rPr>
        <w:t>研发弱网</w:t>
      </w:r>
      <w:r w:rsidRPr="000A1FA5">
        <w:rPr>
          <w:rFonts w:hint="eastAsia"/>
          <w:highlight w:val="yellow"/>
        </w:rPr>
        <w:t>环境下物联网设备稳定通信与数据上传技术，</w:t>
      </w:r>
      <w:r>
        <w:rPr>
          <w:rFonts w:hint="eastAsia"/>
        </w:rPr>
        <w:t>采用离线缓存、断点续传、数据压缩、边缘计算等方法，保障</w:t>
      </w:r>
      <w:r>
        <w:rPr>
          <w:rFonts w:hint="eastAsia"/>
        </w:rPr>
        <w:t>2G/3G</w:t>
      </w:r>
      <w:r>
        <w:rPr>
          <w:rFonts w:hint="eastAsia"/>
        </w:rPr>
        <w:t>网络环境下的设备稳定在线与数据可靠上传。研发物联网设备低功耗管理技术，延长边境仓、运输车辆等场景的传感器续航时间。</w:t>
      </w:r>
    </w:p>
    <w:p w14:paraId="25281665" w14:textId="77777777" w:rsidR="00FE212B" w:rsidRDefault="00000000">
      <w:pPr>
        <w:pStyle w:val="a3"/>
        <w:ind w:firstLine="616"/>
      </w:pPr>
      <w:r w:rsidRPr="006A5090">
        <w:rPr>
          <w:rFonts w:hint="eastAsia"/>
          <w:highlight w:val="yellow"/>
        </w:rPr>
        <w:t>3.</w:t>
      </w:r>
      <w:r w:rsidRPr="006A5090">
        <w:rPr>
          <w:rFonts w:hint="eastAsia"/>
          <w:highlight w:val="yellow"/>
        </w:rPr>
        <w:t>研发仓储环境智能监测调控技术</w:t>
      </w:r>
      <w:r>
        <w:rPr>
          <w:rFonts w:hint="eastAsia"/>
        </w:rPr>
        <w:t>，基于温湿度传感器、</w:t>
      </w:r>
      <w:r w:rsidRPr="002031AA">
        <w:rPr>
          <w:rFonts w:hint="eastAsia"/>
          <w:highlight w:val="cyan"/>
        </w:rPr>
        <w:t>安防摄像头</w:t>
      </w:r>
      <w:r>
        <w:rPr>
          <w:rFonts w:hint="eastAsia"/>
        </w:rPr>
        <w:t>、烟雾探测器、门禁系统等设备，实现边境仓仓储环境的实时监测与智能调控。研发异常环境自动预警与应急处理机制，保障仓储货物安全。</w:t>
      </w:r>
    </w:p>
    <w:p w14:paraId="5539B2C9" w14:textId="77777777" w:rsidR="00FE212B" w:rsidRDefault="00000000">
      <w:pPr>
        <w:pStyle w:val="a3"/>
        <w:ind w:firstLine="618"/>
        <w:rPr>
          <w:b/>
          <w:bCs/>
        </w:rPr>
      </w:pPr>
      <w:r>
        <w:rPr>
          <w:rFonts w:hint="eastAsia"/>
          <w:b/>
          <w:bCs/>
        </w:rPr>
        <w:t>（二）课题考核指标</w:t>
      </w:r>
    </w:p>
    <w:p w14:paraId="1F4A7D86" w14:textId="77777777" w:rsidR="00FE212B" w:rsidRDefault="00000000">
      <w:pPr>
        <w:pStyle w:val="a3"/>
        <w:ind w:firstLine="616"/>
      </w:pPr>
      <w:r>
        <w:rPr>
          <w:rFonts w:hint="eastAsia"/>
        </w:rPr>
        <w:t>1.</w:t>
      </w:r>
      <w:r>
        <w:rPr>
          <w:rFonts w:hint="eastAsia"/>
        </w:rPr>
        <w:t>货物防拆防盗监测准确率达到</w:t>
      </w:r>
      <w:r>
        <w:rPr>
          <w:rFonts w:hint="eastAsia"/>
        </w:rPr>
        <w:t>99%</w:t>
      </w:r>
      <w:r>
        <w:rPr>
          <w:rFonts w:hint="eastAsia"/>
        </w:rPr>
        <w:t>以上；</w:t>
      </w:r>
    </w:p>
    <w:p w14:paraId="38BF8E73" w14:textId="77777777" w:rsidR="00FE212B" w:rsidRDefault="00000000">
      <w:pPr>
        <w:pStyle w:val="a3"/>
        <w:ind w:firstLine="616"/>
      </w:pPr>
      <w:r>
        <w:rPr>
          <w:rFonts w:hint="eastAsia"/>
        </w:rPr>
        <w:t>2.</w:t>
      </w:r>
      <w:r>
        <w:rPr>
          <w:rFonts w:hint="eastAsia"/>
        </w:rPr>
        <w:t>弱网环境数据上传成功率达到</w:t>
      </w:r>
      <w:r>
        <w:rPr>
          <w:rFonts w:hint="eastAsia"/>
        </w:rPr>
        <w:t>99.5%</w:t>
      </w:r>
      <w:r>
        <w:rPr>
          <w:rFonts w:hint="eastAsia"/>
        </w:rPr>
        <w:t>以上；</w:t>
      </w:r>
    </w:p>
    <w:p w14:paraId="56738E8D" w14:textId="77777777" w:rsidR="00FE212B" w:rsidRDefault="00000000">
      <w:pPr>
        <w:pStyle w:val="a3"/>
        <w:ind w:firstLine="616"/>
      </w:pPr>
      <w:r>
        <w:rPr>
          <w:rFonts w:hint="eastAsia"/>
        </w:rPr>
        <w:t>3.</w:t>
      </w:r>
      <w:r>
        <w:rPr>
          <w:rFonts w:hint="eastAsia"/>
        </w:rPr>
        <w:t>仓储环境智能调控响应时间控制在</w:t>
      </w:r>
      <w:r>
        <w:rPr>
          <w:rFonts w:hint="eastAsia"/>
        </w:rPr>
        <w:t>30</w:t>
      </w:r>
      <w:r>
        <w:rPr>
          <w:rFonts w:hint="eastAsia"/>
        </w:rPr>
        <w:t>秒以内，口岸场站数字镜像模型更新延迟控制在</w:t>
      </w:r>
      <w:r>
        <w:rPr>
          <w:rFonts w:hint="eastAsia"/>
        </w:rPr>
        <w:t>3</w:t>
      </w:r>
      <w:r>
        <w:rPr>
          <w:rFonts w:hint="eastAsia"/>
        </w:rPr>
        <w:t>秒以内，实现物理空间与数字</w:t>
      </w:r>
      <w:r>
        <w:rPr>
          <w:rFonts w:hint="eastAsia"/>
        </w:rPr>
        <w:lastRenderedPageBreak/>
        <w:t>空间的近实时映射，集成地理信息、场站布局、设备状态、货物堆存、车辆调度多维数据。</w:t>
      </w:r>
    </w:p>
    <w:p w14:paraId="13DA9D81" w14:textId="77777777" w:rsidR="00FE212B" w:rsidRDefault="00000000">
      <w:pPr>
        <w:pStyle w:val="a3"/>
        <w:ind w:firstLine="616"/>
        <w:rPr>
          <w:highlight w:val="yellow"/>
        </w:rPr>
      </w:pPr>
      <w:r>
        <w:rPr>
          <w:rFonts w:hint="eastAsia"/>
          <w:highlight w:val="yellow"/>
        </w:rPr>
        <w:t>4.</w:t>
      </w:r>
      <w:r>
        <w:rPr>
          <w:rFonts w:hint="eastAsia"/>
          <w:highlight w:val="yellow"/>
        </w:rPr>
        <w:t>授权发明专利</w:t>
      </w:r>
      <w:r>
        <w:rPr>
          <w:rFonts w:hint="eastAsia"/>
          <w:highlight w:val="yellow"/>
        </w:rPr>
        <w:t>2</w:t>
      </w:r>
      <w:r>
        <w:rPr>
          <w:rFonts w:hint="eastAsia"/>
          <w:highlight w:val="yellow"/>
        </w:rPr>
        <w:t>件，获得软件著作权</w:t>
      </w:r>
      <w:r>
        <w:rPr>
          <w:rFonts w:hint="eastAsia"/>
          <w:highlight w:val="yellow"/>
        </w:rPr>
        <w:t>4</w:t>
      </w:r>
      <w:r>
        <w:rPr>
          <w:rFonts w:hint="eastAsia"/>
          <w:highlight w:val="yellow"/>
        </w:rPr>
        <w:t>项，发表高水情平论文</w:t>
      </w:r>
      <w:r>
        <w:rPr>
          <w:rFonts w:hint="eastAsia"/>
          <w:highlight w:val="yellow"/>
        </w:rPr>
        <w:t>2</w:t>
      </w:r>
      <w:r>
        <w:rPr>
          <w:rFonts w:hint="eastAsia"/>
          <w:highlight w:val="yellow"/>
        </w:rPr>
        <w:t>篇。</w:t>
      </w:r>
    </w:p>
    <w:p w14:paraId="5168708F" w14:textId="77777777" w:rsidR="00FE212B" w:rsidRDefault="00000000">
      <w:pPr>
        <w:pStyle w:val="a3"/>
        <w:ind w:firstLine="616"/>
      </w:pPr>
      <w:r>
        <w:rPr>
          <w:rFonts w:hint="eastAsia"/>
          <w:highlight w:val="yellow"/>
        </w:rPr>
        <w:t>5.</w:t>
      </w:r>
      <w:r>
        <w:rPr>
          <w:rFonts w:hint="eastAsia"/>
          <w:highlight w:val="yellow"/>
        </w:rPr>
        <w:t>制定《跨境物流智能感知与通信技术标准》一项</w:t>
      </w:r>
    </w:p>
    <w:p w14:paraId="6371FC44" w14:textId="77777777" w:rsidR="00FE212B" w:rsidRDefault="00000000">
      <w:pPr>
        <w:pStyle w:val="a3"/>
        <w:ind w:firstLine="618"/>
        <w:rPr>
          <w:b/>
          <w:bCs/>
        </w:rPr>
      </w:pPr>
      <w:r>
        <w:rPr>
          <w:rFonts w:hint="eastAsia"/>
          <w:b/>
          <w:bCs/>
        </w:rPr>
        <w:t>（三）单位分工</w:t>
      </w:r>
    </w:p>
    <w:p w14:paraId="3BAA30CC" w14:textId="77777777" w:rsidR="00FE212B" w:rsidRDefault="00000000">
      <w:pPr>
        <w:pStyle w:val="a3"/>
        <w:ind w:firstLine="616"/>
      </w:pPr>
      <w:r>
        <w:rPr>
          <w:rFonts w:hint="eastAsia"/>
        </w:rPr>
        <w:t>1.</w:t>
      </w:r>
      <w:r>
        <w:rPr>
          <w:rFonts w:hint="eastAsia"/>
        </w:rPr>
        <w:t>牵头单位</w:t>
      </w:r>
    </w:p>
    <w:p w14:paraId="4D123E2C" w14:textId="77777777" w:rsidR="00FE212B" w:rsidRDefault="00000000">
      <w:pPr>
        <w:pStyle w:val="a3"/>
        <w:ind w:firstLine="616"/>
      </w:pPr>
      <w:r>
        <w:rPr>
          <w:rFonts w:hint="eastAsia"/>
        </w:rPr>
        <w:t>边疆宾馆：口岸仓储场景、设备现场调试与实测。</w:t>
      </w:r>
    </w:p>
    <w:p w14:paraId="6BB57874" w14:textId="77777777" w:rsidR="00FE212B" w:rsidRDefault="00000000">
      <w:pPr>
        <w:pStyle w:val="a3"/>
        <w:ind w:firstLine="616"/>
      </w:pPr>
      <w:r>
        <w:rPr>
          <w:rFonts w:hint="eastAsia"/>
        </w:rPr>
        <w:t>2.</w:t>
      </w:r>
      <w:r>
        <w:rPr>
          <w:rFonts w:hint="eastAsia"/>
        </w:rPr>
        <w:t>参与单位</w:t>
      </w:r>
    </w:p>
    <w:p w14:paraId="0794A549" w14:textId="77777777" w:rsidR="00FE212B" w:rsidRDefault="00000000">
      <w:pPr>
        <w:pStyle w:val="a3"/>
        <w:ind w:firstLine="616"/>
      </w:pPr>
      <w:r w:rsidRPr="00C91969">
        <w:rPr>
          <w:rFonts w:hint="eastAsia"/>
          <w:highlight w:val="green"/>
        </w:rPr>
        <w:t>新疆大学：场站多维数据集成、数字镜像调度模块开发；</w:t>
      </w:r>
      <w:r>
        <w:rPr>
          <w:rFonts w:hint="eastAsia"/>
        </w:rPr>
        <w:t>多模态感知、边缘计算、加密传输硬件与算法；授权发明专利</w:t>
      </w:r>
      <w:r>
        <w:rPr>
          <w:rFonts w:hint="eastAsia"/>
        </w:rPr>
        <w:t>2</w:t>
      </w:r>
      <w:r>
        <w:rPr>
          <w:rFonts w:hint="eastAsia"/>
        </w:rPr>
        <w:t>件</w:t>
      </w:r>
    </w:p>
    <w:p w14:paraId="3C82A563" w14:textId="77777777" w:rsidR="00FE212B" w:rsidRDefault="00000000">
      <w:pPr>
        <w:pStyle w:val="a3"/>
        <w:ind w:firstLine="616"/>
      </w:pPr>
      <w:r>
        <w:rPr>
          <w:rFonts w:hint="eastAsia"/>
        </w:rPr>
        <w:t>新疆财经大学：获得软件著作权</w:t>
      </w:r>
      <w:r>
        <w:rPr>
          <w:rFonts w:hint="eastAsia"/>
        </w:rPr>
        <w:t>4</w:t>
      </w:r>
      <w:r>
        <w:rPr>
          <w:rFonts w:hint="eastAsia"/>
        </w:rPr>
        <w:t>项，发表高水平论文</w:t>
      </w:r>
      <w:r>
        <w:rPr>
          <w:rFonts w:hint="eastAsia"/>
        </w:rPr>
        <w:t>2</w:t>
      </w:r>
      <w:r>
        <w:rPr>
          <w:rFonts w:hint="eastAsia"/>
        </w:rPr>
        <w:t>篇；制定《跨境物流智能感知与通信技术标准》一项</w:t>
      </w:r>
    </w:p>
    <w:p w14:paraId="53A49806" w14:textId="77777777" w:rsidR="00FE212B" w:rsidRDefault="00000000">
      <w:pPr>
        <w:pStyle w:val="a3"/>
        <w:ind w:firstLine="618"/>
        <w:rPr>
          <w:b/>
          <w:bCs/>
        </w:rPr>
      </w:pPr>
      <w:r>
        <w:rPr>
          <w:rFonts w:hint="eastAsia"/>
          <w:b/>
          <w:bCs/>
        </w:rPr>
        <w:t>预期性指标：</w:t>
      </w:r>
    </w:p>
    <w:p w14:paraId="340E2A57" w14:textId="77777777" w:rsidR="00FE212B" w:rsidRDefault="00000000">
      <w:pPr>
        <w:pStyle w:val="a3"/>
        <w:ind w:firstLine="616"/>
        <w:rPr>
          <w:highlight w:val="yellow"/>
        </w:rPr>
      </w:pPr>
      <w:r>
        <w:rPr>
          <w:rFonts w:hint="eastAsia"/>
          <w:highlight w:val="yellow"/>
        </w:rPr>
        <w:t>（</w:t>
      </w:r>
      <w:r>
        <w:rPr>
          <w:rFonts w:hint="eastAsia"/>
          <w:highlight w:val="yellow"/>
        </w:rPr>
        <w:t>1</w:t>
      </w:r>
      <w:r>
        <w:rPr>
          <w:rFonts w:hint="eastAsia"/>
          <w:highlight w:val="yellow"/>
        </w:rPr>
        <w:t>）年服务跨境物流及外贸企业达到</w:t>
      </w:r>
      <w:r>
        <w:rPr>
          <w:rFonts w:hint="eastAsia"/>
          <w:highlight w:val="yellow"/>
        </w:rPr>
        <w:t>100</w:t>
      </w:r>
      <w:r>
        <w:rPr>
          <w:rFonts w:hint="eastAsia"/>
          <w:highlight w:val="yellow"/>
        </w:rPr>
        <w:t>家以上，其中中小微企业占比达到</w:t>
      </w:r>
      <w:r>
        <w:rPr>
          <w:rFonts w:hint="eastAsia"/>
          <w:highlight w:val="yellow"/>
        </w:rPr>
        <w:t>60%</w:t>
      </w:r>
      <w:r>
        <w:rPr>
          <w:rFonts w:hint="eastAsia"/>
          <w:highlight w:val="yellow"/>
        </w:rPr>
        <w:t>以上；</w:t>
      </w:r>
    </w:p>
    <w:p w14:paraId="1990472D" w14:textId="77777777" w:rsidR="00FE212B" w:rsidRDefault="00000000">
      <w:pPr>
        <w:pStyle w:val="a3"/>
        <w:ind w:firstLine="616"/>
        <w:rPr>
          <w:highlight w:val="yellow"/>
        </w:rPr>
      </w:pPr>
      <w:r>
        <w:rPr>
          <w:rFonts w:hint="eastAsia"/>
          <w:highlight w:val="yellow"/>
        </w:rPr>
        <w:t>（</w:t>
      </w:r>
      <w:r>
        <w:rPr>
          <w:rFonts w:hint="eastAsia"/>
          <w:highlight w:val="yellow"/>
        </w:rPr>
        <w:t>2</w:t>
      </w:r>
      <w:r>
        <w:rPr>
          <w:rFonts w:hint="eastAsia"/>
          <w:highlight w:val="yellow"/>
        </w:rPr>
        <w:t>）培养中亚跨境物流信息化复合型人才</w:t>
      </w:r>
      <w:r>
        <w:rPr>
          <w:rFonts w:hint="eastAsia"/>
          <w:highlight w:val="yellow"/>
        </w:rPr>
        <w:t>30</w:t>
      </w:r>
      <w:r>
        <w:rPr>
          <w:rFonts w:hint="eastAsia"/>
          <w:highlight w:val="yellow"/>
        </w:rPr>
        <w:t>人以上，培训跨境物流从业人员</w:t>
      </w:r>
      <w:r>
        <w:rPr>
          <w:rFonts w:hint="eastAsia"/>
          <w:highlight w:val="yellow"/>
        </w:rPr>
        <w:t>500</w:t>
      </w:r>
      <w:r>
        <w:rPr>
          <w:rFonts w:hint="eastAsia"/>
          <w:highlight w:val="yellow"/>
        </w:rPr>
        <w:t>人次以上；</w:t>
      </w:r>
    </w:p>
    <w:p w14:paraId="58B3FD8B" w14:textId="77777777" w:rsidR="00FE212B" w:rsidRDefault="00000000">
      <w:pPr>
        <w:pStyle w:val="a3"/>
        <w:ind w:firstLine="616"/>
        <w:rPr>
          <w:highlight w:val="yellow"/>
        </w:rPr>
      </w:pPr>
      <w:r>
        <w:rPr>
          <w:rFonts w:hint="eastAsia"/>
          <w:highlight w:val="yellow"/>
        </w:rPr>
        <w:t>（</w:t>
      </w:r>
      <w:r>
        <w:rPr>
          <w:rFonts w:hint="eastAsia"/>
          <w:highlight w:val="yellow"/>
        </w:rPr>
        <w:t>3</w:t>
      </w:r>
      <w:r>
        <w:rPr>
          <w:rFonts w:hint="eastAsia"/>
          <w:highlight w:val="yellow"/>
        </w:rPr>
        <w:t>）带动示范企业新增营业收入达到</w:t>
      </w:r>
      <w:r>
        <w:rPr>
          <w:rFonts w:hint="eastAsia"/>
          <w:highlight w:val="yellow"/>
        </w:rPr>
        <w:t>5000</w:t>
      </w:r>
      <w:r>
        <w:rPr>
          <w:rFonts w:hint="eastAsia"/>
          <w:highlight w:val="yellow"/>
        </w:rPr>
        <w:t>万元以上。</w:t>
      </w:r>
    </w:p>
    <w:p w14:paraId="5F40B2B7" w14:textId="77777777" w:rsidR="00FE212B" w:rsidRDefault="00000000">
      <w:pPr>
        <w:pStyle w:val="1"/>
        <w:keepNext/>
        <w:keepLines/>
        <w:spacing w:beforeAutospacing="0" w:afterAutospacing="0" w:line="560" w:lineRule="exact"/>
        <w:ind w:firstLineChars="200" w:firstLine="640"/>
        <w:rPr>
          <w:rFonts w:ascii="黑体" w:eastAsia="黑体" w:hAnsi="黑体" w:cs="黑体"/>
          <w:b w:val="0"/>
          <w:bCs w:val="0"/>
          <w:sz w:val="32"/>
          <w:szCs w:val="32"/>
        </w:rPr>
      </w:pPr>
      <w:r>
        <w:rPr>
          <w:rFonts w:ascii="黑体" w:eastAsia="黑体" w:hAnsi="黑体" w:cs="黑体"/>
          <w:b w:val="0"/>
          <w:bCs w:val="0"/>
          <w:sz w:val="32"/>
          <w:szCs w:val="32"/>
        </w:rPr>
        <w:t>五、组织管理与协调机制</w:t>
      </w:r>
    </w:p>
    <w:p w14:paraId="41FCD88C" w14:textId="77777777" w:rsidR="00FE212B" w:rsidRDefault="00000000">
      <w:pPr>
        <w:pStyle w:val="a3"/>
        <w:ind w:firstLine="616"/>
      </w:pPr>
      <w:r>
        <w:rPr>
          <w:rFonts w:hint="eastAsia"/>
        </w:rPr>
        <w:t>（一）项目领导小组。由新疆财经大学分管校领导担任组长，各参与单位分管科研负责人担任副组长，各课题负责人为成员。领导小组负责项目重大事项决策、跨单位协调及与自治</w:t>
      </w:r>
      <w:r>
        <w:rPr>
          <w:rFonts w:hint="eastAsia"/>
        </w:rPr>
        <w:lastRenderedPageBreak/>
        <w:t>区科技厅沟通对接，原则上每季度召开一次联席会议。</w:t>
      </w:r>
    </w:p>
    <w:p w14:paraId="63EC5045" w14:textId="77777777" w:rsidR="00FE212B" w:rsidRDefault="00000000">
      <w:pPr>
        <w:pStyle w:val="a3"/>
        <w:ind w:firstLine="616"/>
      </w:pPr>
      <w:r>
        <w:rPr>
          <w:rFonts w:hint="eastAsia"/>
        </w:rPr>
        <w:t>（二）项目管理办公室。挂靠新疆财经大学科研处，设项目负责人</w:t>
      </w:r>
      <w:r>
        <w:rPr>
          <w:rFonts w:hint="eastAsia"/>
        </w:rPr>
        <w:t>1</w:t>
      </w:r>
      <w:r>
        <w:rPr>
          <w:rFonts w:hint="eastAsia"/>
        </w:rPr>
        <w:t>名，专职管理人员</w:t>
      </w:r>
      <w:r>
        <w:rPr>
          <w:rFonts w:hint="eastAsia"/>
        </w:rPr>
        <w:t>1</w:t>
      </w:r>
      <w:r>
        <w:rPr>
          <w:rFonts w:hint="eastAsia"/>
        </w:rPr>
        <w:t>—</w:t>
      </w:r>
      <w:r>
        <w:rPr>
          <w:rFonts w:hint="eastAsia"/>
        </w:rPr>
        <w:t>2</w:t>
      </w:r>
      <w:r>
        <w:rPr>
          <w:rFonts w:hint="eastAsia"/>
        </w:rPr>
        <w:t>名。负责日常管理、进度跟踪、经费监管、材料汇总及与自治区科技厅日常对接，实行月度工作简报制度。</w:t>
      </w:r>
    </w:p>
    <w:p w14:paraId="21AF4FBF" w14:textId="77777777" w:rsidR="00FE212B" w:rsidRDefault="00000000">
      <w:pPr>
        <w:pStyle w:val="a3"/>
        <w:ind w:firstLine="616"/>
      </w:pPr>
      <w:r>
        <w:rPr>
          <w:rFonts w:hint="eastAsia"/>
        </w:rPr>
        <w:t>（三）课题负责人制。各课题设立负责人</w:t>
      </w:r>
      <w:r>
        <w:rPr>
          <w:rFonts w:hint="eastAsia"/>
        </w:rPr>
        <w:t>1</w:t>
      </w:r>
      <w:r>
        <w:rPr>
          <w:rFonts w:hint="eastAsia"/>
        </w:rPr>
        <w:t>名，由课题牵头单位指定。课题负责人对本课题研究进度、经费使用、成果产出及数据真实性负直接责任，接受项目管理办公室日常监督。</w:t>
      </w:r>
    </w:p>
    <w:p w14:paraId="2C1E2FDD" w14:textId="77777777" w:rsidR="00FE212B" w:rsidRDefault="00000000">
      <w:pPr>
        <w:pStyle w:val="a3"/>
        <w:ind w:firstLine="616"/>
      </w:pPr>
      <w:r>
        <w:rPr>
          <w:rFonts w:hint="eastAsia"/>
        </w:rPr>
        <w:t>（四）技术专家组。由项目领导小组聘请区内外人工智能、跨境物流、信息安全等领域专家</w:t>
      </w:r>
      <w:r>
        <w:rPr>
          <w:rFonts w:hint="eastAsia"/>
        </w:rPr>
        <w:t>5</w:t>
      </w:r>
      <w:r>
        <w:rPr>
          <w:rFonts w:hint="eastAsia"/>
        </w:rPr>
        <w:t>—</w:t>
      </w:r>
      <w:r>
        <w:rPr>
          <w:rFonts w:hint="eastAsia"/>
        </w:rPr>
        <w:t>7</w:t>
      </w:r>
      <w:r>
        <w:rPr>
          <w:rFonts w:hint="eastAsia"/>
        </w:rPr>
        <w:t>人组成，负责技术路线把关、中期检查评估及重大技术问题咨询论证。</w:t>
      </w:r>
    </w:p>
    <w:p w14:paraId="7897CB5D" w14:textId="77777777" w:rsidR="00FE212B" w:rsidRDefault="00000000">
      <w:pPr>
        <w:pStyle w:val="a3"/>
        <w:ind w:firstLine="616"/>
      </w:pPr>
      <w:r>
        <w:rPr>
          <w:rFonts w:hint="eastAsia"/>
        </w:rPr>
        <w:t>（五）协同推进机制。各课题每月</w:t>
      </w:r>
      <w:r>
        <w:rPr>
          <w:rFonts w:hint="eastAsia"/>
        </w:rPr>
        <w:t>25</w:t>
      </w:r>
      <w:r>
        <w:rPr>
          <w:rFonts w:hint="eastAsia"/>
        </w:rPr>
        <w:t>日前向项目管理办公室提交工作进展简报；每季度末召开项目进展汇报会；每年度末组织考核评估，考核结果与后续经费拨付挂钩。</w:t>
      </w:r>
    </w:p>
    <w:p w14:paraId="63E1159B" w14:textId="77777777" w:rsidR="00FE212B" w:rsidRDefault="00000000">
      <w:pPr>
        <w:pStyle w:val="a3"/>
        <w:ind w:firstLine="616"/>
      </w:pPr>
      <w:r>
        <w:rPr>
          <w:rFonts w:hint="eastAsia"/>
        </w:rPr>
        <w:t>（六）经费监管机制。项目总经费由新疆财经大学统一管理，各课题设立子账户。设备费、业务费、劳务费按课题任务书预算执行，超预算支出须提前报批。间接费用由总牵头单位统筹列支，用于项目管理、绩效激励及科研条件支撑。</w:t>
      </w:r>
    </w:p>
    <w:p w14:paraId="11128CBA" w14:textId="77777777" w:rsidR="00FE212B" w:rsidRDefault="00000000">
      <w:pPr>
        <w:pStyle w:val="a3"/>
        <w:ind w:firstLine="616"/>
      </w:pPr>
      <w:r>
        <w:rPr>
          <w:rFonts w:hint="eastAsia"/>
        </w:rPr>
        <w:t>（七）知识产权与成果共享。项目执行过程中形成的知识产权归各完成单位共有，具体权益分配由联合申报协议约定。论文发表须标注项目资助信息，软件著作权、专利等成果须按指南要求的时间节点完成。</w:t>
      </w:r>
    </w:p>
    <w:p w14:paraId="4401AAC2" w14:textId="77777777" w:rsidR="00FE212B" w:rsidRDefault="00000000">
      <w:pPr>
        <w:pStyle w:val="a3"/>
        <w:ind w:firstLine="616"/>
      </w:pPr>
      <w:r>
        <w:rPr>
          <w:rFonts w:hint="eastAsia"/>
        </w:rPr>
        <w:t>（八）变更与退出机制。项目执行过程中如需调整课题承担单位、经费分配或研究内容，须由课题负责人提出申请，经</w:t>
      </w:r>
      <w:r>
        <w:rPr>
          <w:rFonts w:hint="eastAsia"/>
        </w:rPr>
        <w:lastRenderedPageBreak/>
        <w:t>项目管理办公室审核、项目领导小组审议后，按程序报自治区科技厅批准。</w:t>
      </w:r>
    </w:p>
    <w:p w14:paraId="35515E4A" w14:textId="77777777" w:rsidR="00FE212B" w:rsidRDefault="00000000">
      <w:pPr>
        <w:pStyle w:val="1"/>
        <w:keepNext/>
        <w:keepLines/>
        <w:spacing w:beforeAutospacing="0" w:afterAutospacing="0" w:line="560" w:lineRule="exact"/>
        <w:ind w:firstLineChars="200" w:firstLine="640"/>
        <w:rPr>
          <w:rFonts w:ascii="黑体" w:eastAsia="黑体" w:hAnsi="黑体" w:cs="黑体"/>
          <w:b w:val="0"/>
          <w:bCs w:val="0"/>
          <w:sz w:val="32"/>
          <w:szCs w:val="32"/>
        </w:rPr>
      </w:pPr>
      <w:r>
        <w:rPr>
          <w:rFonts w:ascii="黑体" w:eastAsia="黑体" w:hAnsi="黑体" w:cs="黑体"/>
          <w:b w:val="0"/>
          <w:bCs w:val="0"/>
          <w:sz w:val="32"/>
          <w:szCs w:val="32"/>
        </w:rPr>
        <w:t>六、下一步工作安排</w:t>
      </w:r>
    </w:p>
    <w:p w14:paraId="794F79E3" w14:textId="77777777" w:rsidR="00FE212B" w:rsidRDefault="00000000">
      <w:pPr>
        <w:pStyle w:val="a3"/>
        <w:ind w:firstLine="616"/>
      </w:pPr>
      <w:r>
        <w:rPr>
          <w:rFonts w:hint="eastAsia"/>
        </w:rPr>
        <w:t>（一）各参与单位于</w:t>
      </w:r>
      <w:r>
        <w:rPr>
          <w:rFonts w:hint="eastAsia"/>
        </w:rPr>
        <w:t>2026</w:t>
      </w:r>
      <w:r>
        <w:rPr>
          <w:rFonts w:hint="eastAsia"/>
        </w:rPr>
        <w:t>年</w:t>
      </w:r>
      <w:r>
        <w:rPr>
          <w:rFonts w:hint="eastAsia"/>
        </w:rPr>
        <w:t>7</w:t>
      </w:r>
      <w:r>
        <w:rPr>
          <w:rFonts w:hint="eastAsia"/>
        </w:rPr>
        <w:t>月</w:t>
      </w:r>
      <w:r>
        <w:rPr>
          <w:rFonts w:hint="eastAsia"/>
        </w:rPr>
        <w:t>31</w:t>
      </w:r>
      <w:r>
        <w:rPr>
          <w:rFonts w:hint="eastAsia"/>
        </w:rPr>
        <w:t>日前反馈课题负责人及核心团队成员名单，并召集碰头会明确分工细节。</w:t>
      </w:r>
    </w:p>
    <w:p w14:paraId="1A688EC9" w14:textId="77777777" w:rsidR="00FE212B" w:rsidRDefault="00000000">
      <w:pPr>
        <w:pStyle w:val="a3"/>
        <w:ind w:firstLine="616"/>
      </w:pPr>
      <w:r>
        <w:rPr>
          <w:rFonts w:hint="eastAsia"/>
        </w:rPr>
        <w:t>（二）</w:t>
      </w:r>
      <w:r>
        <w:rPr>
          <w:rFonts w:hint="eastAsia"/>
        </w:rPr>
        <w:t>2026</w:t>
      </w:r>
      <w:r>
        <w:rPr>
          <w:rFonts w:hint="eastAsia"/>
        </w:rPr>
        <w:t>年</w:t>
      </w:r>
      <w:r>
        <w:rPr>
          <w:rFonts w:hint="eastAsia"/>
        </w:rPr>
        <w:t>8</w:t>
      </w:r>
      <w:r>
        <w:rPr>
          <w:rFonts w:hint="eastAsia"/>
        </w:rPr>
        <w:t>月</w:t>
      </w:r>
      <w:r>
        <w:rPr>
          <w:rFonts w:hint="eastAsia"/>
        </w:rPr>
        <w:t>5</w:t>
      </w:r>
      <w:r>
        <w:rPr>
          <w:rFonts w:hint="eastAsia"/>
        </w:rPr>
        <w:t>日前完成联合申报协议起草，经各单位科研管理部门及法务审核后签署。</w:t>
      </w:r>
    </w:p>
    <w:p w14:paraId="513815E9" w14:textId="77777777" w:rsidR="00FE212B" w:rsidRDefault="00000000">
      <w:pPr>
        <w:pStyle w:val="a3"/>
        <w:ind w:firstLine="616"/>
      </w:pPr>
      <w:r>
        <w:rPr>
          <w:rFonts w:hint="eastAsia"/>
        </w:rPr>
        <w:t>（三）</w:t>
      </w:r>
      <w:r>
        <w:rPr>
          <w:rFonts w:hint="eastAsia"/>
        </w:rPr>
        <w:t>2026</w:t>
      </w:r>
      <w:r>
        <w:rPr>
          <w:rFonts w:hint="eastAsia"/>
        </w:rPr>
        <w:t>年</w:t>
      </w:r>
      <w:r>
        <w:rPr>
          <w:rFonts w:hint="eastAsia"/>
        </w:rPr>
        <w:t>8</w:t>
      </w:r>
      <w:r>
        <w:rPr>
          <w:rFonts w:hint="eastAsia"/>
        </w:rPr>
        <w:t>月</w:t>
      </w:r>
      <w:r>
        <w:rPr>
          <w:rFonts w:hint="eastAsia"/>
        </w:rPr>
        <w:t>10</w:t>
      </w:r>
      <w:r>
        <w:rPr>
          <w:rFonts w:hint="eastAsia"/>
        </w:rPr>
        <w:t>日前各子课题组完成项目申报书及实施方案初稿编制，确保研究内容、考核指标与指南要求精准对应，汇总至新疆财经大学。</w:t>
      </w:r>
    </w:p>
    <w:p w14:paraId="29978D20" w14:textId="77777777" w:rsidR="00FE212B" w:rsidRDefault="00000000">
      <w:pPr>
        <w:pStyle w:val="a3"/>
        <w:ind w:firstLine="616"/>
      </w:pPr>
      <w:r>
        <w:rPr>
          <w:rFonts w:hint="eastAsia"/>
        </w:rPr>
        <w:t>（四）</w:t>
      </w:r>
      <w:r>
        <w:rPr>
          <w:rFonts w:hint="eastAsia"/>
        </w:rPr>
        <w:t>2026</w:t>
      </w:r>
      <w:r>
        <w:rPr>
          <w:rFonts w:hint="eastAsia"/>
        </w:rPr>
        <w:t>年</w:t>
      </w:r>
      <w:r>
        <w:rPr>
          <w:rFonts w:hint="eastAsia"/>
        </w:rPr>
        <w:t>8</w:t>
      </w:r>
      <w:r>
        <w:rPr>
          <w:rFonts w:hint="eastAsia"/>
        </w:rPr>
        <w:t>月</w:t>
      </w:r>
      <w:r>
        <w:rPr>
          <w:rFonts w:hint="eastAsia"/>
        </w:rPr>
        <w:t>15</w:t>
      </w:r>
      <w:r>
        <w:rPr>
          <w:rFonts w:hint="eastAsia"/>
        </w:rPr>
        <w:t>日前组织专家论证会，邀请自治区科技厅相关处室及行业专家指导，对申报书进行完善。</w:t>
      </w:r>
    </w:p>
    <w:p w14:paraId="15EAD923" w14:textId="77777777" w:rsidR="00FE212B" w:rsidRDefault="00000000">
      <w:pPr>
        <w:pStyle w:val="a3"/>
        <w:ind w:firstLine="616"/>
      </w:pPr>
      <w:r>
        <w:rPr>
          <w:rFonts w:hint="eastAsia"/>
        </w:rPr>
        <w:t>（五）</w:t>
      </w:r>
      <w:r>
        <w:rPr>
          <w:rFonts w:hint="eastAsia"/>
        </w:rPr>
        <w:t>2026</w:t>
      </w:r>
      <w:r>
        <w:rPr>
          <w:rFonts w:hint="eastAsia"/>
        </w:rPr>
        <w:t>年</w:t>
      </w:r>
      <w:r>
        <w:rPr>
          <w:rFonts w:hint="eastAsia"/>
        </w:rPr>
        <w:t>8</w:t>
      </w:r>
      <w:r>
        <w:rPr>
          <w:rFonts w:hint="eastAsia"/>
        </w:rPr>
        <w:t>月</w:t>
      </w:r>
      <w:r>
        <w:rPr>
          <w:rFonts w:hint="eastAsia"/>
        </w:rPr>
        <w:t>17</w:t>
      </w:r>
      <w:r>
        <w:rPr>
          <w:rFonts w:hint="eastAsia"/>
        </w:rPr>
        <w:t>日前完成网上系统填报及纸质材料（带“正式上报版”水印）报送。</w:t>
      </w:r>
    </w:p>
    <w:p w14:paraId="0265F47C" w14:textId="77777777" w:rsidR="00FE212B" w:rsidRDefault="00000000">
      <w:pPr>
        <w:pStyle w:val="a3"/>
        <w:ind w:firstLine="616"/>
      </w:pPr>
      <w:r>
        <w:rPr>
          <w:rFonts w:hint="eastAsia"/>
        </w:rPr>
        <w:t>（六）同步推进企业自筹经费落实（配套比例不低于</w:t>
      </w:r>
      <w:r>
        <w:rPr>
          <w:rFonts w:hint="eastAsia"/>
        </w:rPr>
        <w:t>2:1</w:t>
      </w:r>
      <w:r>
        <w:rPr>
          <w:rFonts w:hint="eastAsia"/>
        </w:rPr>
        <w:t>）、伦理审查及科研诚信承诺书签署等前置准备工作。</w:t>
      </w:r>
    </w:p>
    <w:sectPr w:rsidR="00FE21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03" w:usb1="80000000" w:usb2="00000008" w:usb3="00000000" w:csb0="00000041" w:csb1="00000000"/>
  </w:font>
  <w:font w:name="仿宋_GB2312">
    <w:altName w:val="仿宋"/>
    <w:panose1 w:val="02010609030101010101"/>
    <w:charset w:val="86"/>
    <w:family w:val="modern"/>
    <w:pitch w:val="fixed"/>
    <w:sig w:usb0="00000001" w:usb1="080E0000" w:usb2="00000010" w:usb3="00000000" w:csb0="00040000" w:csb1="00000000"/>
    <w:embedRegular r:id="rId1" w:subsetted="1" w:fontKey="{6BDCCC12-845A-4B43-AA6A-5BEDA91707C2}"/>
    <w:embedBold r:id="rId2" w:subsetted="1" w:fontKey="{2607CB95-D33D-4CA8-A763-1355F28611CA}"/>
  </w:font>
  <w:font w:name="方正小标宋简体">
    <w:altName w:val="微软雅黑"/>
    <w:charset w:val="86"/>
    <w:family w:val="auto"/>
    <w:pitch w:val="default"/>
    <w:sig w:usb0="00000001" w:usb1="08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3" w:subsetted="1" w:fontKey="{CE8BD047-13A2-46E7-A0A2-2AEACEB23322}"/>
    <w:embedBold r:id="rId4" w:subsetted="1" w:fontKey="{C784CAA6-C406-48F1-8BF8-88C1B3AE0492}"/>
  </w:font>
  <w:font w:name="方正楷体_GBK">
    <w:charset w:val="86"/>
    <w:family w:val="auto"/>
    <w:pitch w:val="default"/>
    <w:sig w:usb0="800002BF" w:usb1="38CF7CFA" w:usb2="00000016" w:usb3="00000000" w:csb0="00040000" w:csb1="00000000"/>
    <w:embedBold r:id="rId5" w:subsetted="1" w:fontKey="{674032EB-2550-48E5-9D7E-EAE2944A5C29}"/>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proofState w:spelling="clean" w:grammar="clean"/>
  <w:defaultTabStop w:val="420"/>
  <w:drawingGridHorizontalSpacing w:val="158"/>
  <w:drawingGridVerticalSpacing w:val="290"/>
  <w:displayHorizontalDrawingGridEvery w:val="2"/>
  <w:displayVerticalDrawingGridEvery w:val="2"/>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ZlYWQ4MDA3ZDAxZTcyZjExNjgwNTUxMGYyMzBkODgifQ=="/>
  </w:docVars>
  <w:rsids>
    <w:rsidRoot w:val="1B351444"/>
    <w:rsid w:val="00076247"/>
    <w:rsid w:val="000A1FA5"/>
    <w:rsid w:val="001F1522"/>
    <w:rsid w:val="002031AA"/>
    <w:rsid w:val="006A5090"/>
    <w:rsid w:val="006B7EA1"/>
    <w:rsid w:val="0093551B"/>
    <w:rsid w:val="00B32AAD"/>
    <w:rsid w:val="00BA472E"/>
    <w:rsid w:val="00C91969"/>
    <w:rsid w:val="00E855D7"/>
    <w:rsid w:val="00FE212B"/>
    <w:rsid w:val="00FF5D4F"/>
    <w:rsid w:val="01090558"/>
    <w:rsid w:val="015D7F97"/>
    <w:rsid w:val="0C640846"/>
    <w:rsid w:val="173B1E58"/>
    <w:rsid w:val="1B351444"/>
    <w:rsid w:val="1BF76AB1"/>
    <w:rsid w:val="28495AE8"/>
    <w:rsid w:val="2D143BBB"/>
    <w:rsid w:val="31554CFE"/>
    <w:rsid w:val="336244FF"/>
    <w:rsid w:val="38E27672"/>
    <w:rsid w:val="42835DC8"/>
    <w:rsid w:val="43737490"/>
    <w:rsid w:val="441B705A"/>
    <w:rsid w:val="45A86AE5"/>
    <w:rsid w:val="49FA3AEE"/>
    <w:rsid w:val="502B0CE6"/>
    <w:rsid w:val="51BA70C1"/>
    <w:rsid w:val="55F757BF"/>
    <w:rsid w:val="6023302E"/>
    <w:rsid w:val="69024CC1"/>
    <w:rsid w:val="6CEE2343"/>
    <w:rsid w:val="75A71A39"/>
    <w:rsid w:val="7D14294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D3FA25B-068A-4AAF-98FE-A7DBB0D2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ug-C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bidi="ar-SA"/>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lang w:bidi="ug-CN"/>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lang w:bidi="ug-CN"/>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lang w:bidi="ug-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560" w:lineRule="exact"/>
      <w:ind w:firstLineChars="200" w:firstLine="630"/>
    </w:pPr>
    <w:rPr>
      <w:rFonts w:ascii="Times New Roman" w:eastAsia="仿宋_GB2312" w:hAnsi="Times New Roman" w:cs="仿宋_GB2312"/>
      <w:spacing w:val="-6"/>
      <w:sz w:val="32"/>
      <w:szCs w:val="32"/>
    </w:rPr>
  </w:style>
  <w:style w:type="paragraph" w:styleId="a4">
    <w:name w:val="Title"/>
    <w:qFormat/>
    <w:pPr>
      <w:spacing w:line="720" w:lineRule="exact"/>
      <w:jc w:val="center"/>
    </w:pPr>
    <w:rPr>
      <w:rFonts w:ascii="方正小标宋简体" w:eastAsia="方正小标宋简体" w:hAnsi="方正小标宋简体" w:cs="方正小标宋简体"/>
      <w:sz w:val="44"/>
      <w:szCs w:val="44"/>
    </w:rPr>
  </w:style>
  <w:style w:type="table" w:styleId="a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将学习进行到底</dc:creator>
  <cp:lastModifiedBy>Wayit</cp:lastModifiedBy>
  <cp:revision>7</cp:revision>
  <dcterms:created xsi:type="dcterms:W3CDTF">2026-08-03T08:12:00Z</dcterms:created>
  <dcterms:modified xsi:type="dcterms:W3CDTF">2026-08-05T02:37:00Z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4A4DC50B59AC461DB0415BC009CAF573_13</vt:lpwstr>
  </property>
  <property fmtid="{D5CDD505-2E9C-101B-9397-08002B2CF9AE}" pid="4" name="KSOTemplateDocerSaveRecord">
    <vt:lpwstr>eyJoZGlkIjoiYWJmNTAxYTA0NTllZTU0OWY5NWY0MWNlMzBjNGU2OTYiLCJ1c2VySWQiOiI0NTYzOTI0MTUifQ==</vt:lpwstr>
  </property>
</Properties>
</file>