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pStyle w:val="Title"/>
      </w:pPr>
      <w:r>
        <w:rPr>
          <w:b w:val="0"/>
        </w:rPr>
        <w:t>Furusato Data Agent tuning</w:t>
      </w:r>
    </w:p>
    <w:p w14:paraId="10000003" w14:textId="10000004" w:rsidR="00A17E3C" w:rsidRDefault="00A17E3C">
      <w:r>
        <w:t xml:space="preserve">2026-10-03 — 3.0.0 </w:t>
      </w:r>
      <w:r>
        <w:t>別日付追補</w:t>
      </w:r>
      <w:r>
        <w:t xml:space="preserve"> / Separately dated addendum</w:t>
      </w:r>
    </w:p>
    <w:p w14:paraId="10000005" w14:textId="10000006" w:rsidR="00A17E3C" w:rsidRDefault="00A17E3C">
      <w:pPr>
        <w:pStyle w:val="Heading1"/>
        <w:pBdr>
          <w:bottom w:val="single" w:sz="6" w:space="0" w:color="D0D7DE"/>
        </w:pBdr>
        <w:spacing w:before="520" w:after="120"/>
      </w:pPr>
      <w:r>
        <w:t>評価結果</w:t>
      </w:r>
      <w:r>
        <w:t xml:space="preserve"> / Measured results</w:t>
      </w:r>
    </w:p>
    <w:p w14:paraId="10000007" w14:textId="10000008" w:rsidR="00A17E3C" w:rsidRDefault="00A17E3C">
      <w:r>
        <w:t>最新の既知開発セットにも</w:t>
      </w:r>
      <w:r>
        <w:t>FAIL</w:t>
      </w:r>
      <w:r>
        <w:t>または</w:t>
      </w:r>
      <w:r>
        <w:t>UNKNOWN</w:t>
      </w:r>
      <w:r>
        <w:t>が残っています。</w:t>
      </w:r>
      <w:r>
        <w:t>0 FAIL</w:t>
      </w:r>
      <w:r>
        <w:t>達成・品質受入とは扱いません。</w:t>
      </w:r>
    </w:p>
    <w:p w14:paraId="10000009" w14:textId="1000000A" w:rsidR="00A17E3C" w:rsidRDefault="00A17E3C">
      <w:r>
        <w:t>過去の開発問題から選んだ同じ</w:t>
      </w:r>
      <w:r>
        <w:t>20</w:t>
      </w:r>
      <w:r>
        <w:t>問。質問・期待値・必須条件は不変です。</w:t>
      </w:r>
      <w:r>
        <w:t>100</w:t>
      </w:r>
      <w:r>
        <w:t>問全体の再評価でも、未知の質問を使った独立評価でもありません。</w:t>
      </w:r>
    </w:p>
    <w:p w14:paraId="1000000B" w14:textId="1000000C" w:rsidR="00A17E3C" w:rsidRDefault="00A17E3C">
      <w:r>
        <w:t>P / F / U = PASS / FAIL / UNKNOWN</w:t>
      </w:r>
      <w:r>
        <w:t>。表の値は各構成の全回答であり、異なるラウンドの正答を選び集めていません。</w:t>
      </w:r>
    </w:p>
    <w:tbl>
      <w:tblPr>
        <w:tblStyle w:val="TableGrid"/>
        <w:tblW w:w="0" w:type="auto"/>
        <w:jc w:val="center"/>
        <w:tblLayout w:type="fixed"/>
        <w:tblLook w:val="04A0" w:firstRow="1" w:lastRow="0" w:firstColumn="1" w:lastColumn="0" w:noHBand="0" w:noVBand="1"/>
        <w:tblCaption w:val="表 1"/>
        <w:tblDescription w:val="評価結果 / Measured results"/>
      </w:tblPr>
      <w:tblGrid>
        <w:gridCol w:w="4424"/>
        <w:gridCol w:w="790"/>
        <w:gridCol w:w="2212"/>
        <w:gridCol w:w="2212"/>
      </w:tblGrid>
      <w:tr w:rsidR="00A17E3C" w14:paraId="1000000D" w14:textId="1000000E">
        <w:trPr>
          <w:cantSplit/>
          <w:tblHeader/>
          <w:jc w:val="center"/>
        </w:trPr>
        <w:tc>
          <w:tcPr>
            <w:tcW w:w="4424" w:type="dxa"/>
            <w:shd w:val="clear" w:color="auto" w:fill="174C88"/>
          </w:tcPr>
          <w:p w14:paraId="1000000F" w14:textId="10000010" w:rsidR="00A17E3C" w:rsidRDefault="00A17E3C">
            <w:pPr>
              <w:spacing w:before="20" w:after="20"/>
            </w:pPr>
            <w:r>
              <w:rPr>
                <w:b/>
                <w:color w:val="FFFFFF"/>
                <w:sz w:val="18"/>
              </w:rPr>
              <w:t>構成</w:t>
            </w:r>
            <w:r>
              <w:rPr>
                <w:b/>
                <w:color w:val="FFFFFF"/>
                <w:sz w:val="18"/>
              </w:rPr>
              <w:t xml:space="preserve"> / Configuration</w:t>
            </w:r>
          </w:p>
        </w:tc>
        <w:tc>
          <w:tcPr>
            <w:tcW w:w="790" w:type="dxa"/>
            <w:shd w:val="clear" w:color="auto" w:fill="174C88"/>
          </w:tcPr>
          <w:p w14:paraId="10000011" w14:textId="10000012" w:rsidR="00A17E3C" w:rsidRDefault="00A17E3C">
            <w:pPr>
              <w:spacing w:before="20" w:after="20"/>
            </w:pPr>
            <w:r>
              <w:rPr>
                <w:b/>
                <w:color w:val="FFFFFF"/>
                <w:sz w:val="18"/>
              </w:rPr>
              <w:t>問数</w:t>
            </w:r>
          </w:p>
        </w:tc>
        <w:tc>
          <w:tcPr>
            <w:tcW w:w="2212" w:type="dxa"/>
            <w:shd w:val="clear" w:color="auto" w:fill="174C88"/>
          </w:tcPr>
          <w:p w14:paraId="10000013" w14:textId="10000014" w:rsidR="00A17E3C" w:rsidRDefault="00A17E3C">
            <w:pPr>
              <w:spacing w:before="20" w:after="20"/>
            </w:pPr>
            <w:r>
              <w:rPr>
                <w:b/>
                <w:color w:val="FFFFFF"/>
                <w:sz w:val="18"/>
              </w:rPr>
              <w:t>事実</w:t>
            </w:r>
            <w:r>
              <w:rPr>
                <w:b/>
                <w:color w:val="FFFFFF"/>
                <w:sz w:val="18"/>
              </w:rPr>
              <w:t xml:space="preserve"> P / F / U</w:t>
            </w:r>
          </w:p>
        </w:tc>
        <w:tc>
          <w:tcPr>
            <w:tcW w:w="2212" w:type="dxa"/>
            <w:shd w:val="clear" w:color="auto" w:fill="174C88"/>
          </w:tcPr>
          <w:p w14:paraId="10000015" w14:textId="10000016" w:rsidR="00A17E3C" w:rsidRDefault="00A17E3C">
            <w:pPr>
              <w:spacing w:before="20" w:after="20"/>
            </w:pPr>
            <w:r>
              <w:rPr>
                <w:b/>
                <w:color w:val="FFFFFF"/>
                <w:sz w:val="18"/>
              </w:rPr>
              <w:t>内容</w:t>
            </w:r>
            <w:r>
              <w:rPr>
                <w:b/>
                <w:color w:val="FFFFFF"/>
                <w:sz w:val="18"/>
              </w:rPr>
              <w:t xml:space="preserve"> P / F / U</w:t>
            </w:r>
          </w:p>
        </w:tc>
      </w:tr>
      <w:tr w:rsidR="00A17E3C" w14:paraId="10000017" w14:textId="10000018">
        <w:trPr>
          <w:cantSplit/>
          <w:jc w:val="center"/>
        </w:trPr>
        <w:tc>
          <w:tcPr>
            <w:tcW w:w="4424" w:type="dxa"/>
          </w:tcPr>
          <w:p w14:paraId="10000019" w14:textId="1000001A" w:rsidR="00A17E3C" w:rsidRDefault="00A17E3C">
            <w:pPr>
              <w:spacing w:before="20" w:after="20" w:line="252" w:lineRule="auto"/>
            </w:pPr>
            <w:r>
              <w:rPr>
                <w:sz w:val="18"/>
              </w:rPr>
              <w:t>Before / Round3</w:t>
            </w:r>
          </w:p>
        </w:tc>
        <w:tc>
          <w:tcPr>
            <w:tcW w:w="790" w:type="dxa"/>
          </w:tcPr>
          <w:p w14:paraId="1000001B" w14:textId="1000001C" w:rsidR="00A17E3C" w:rsidRDefault="00A17E3C">
            <w:pPr>
              <w:spacing w:before="20" w:after="20" w:line="252" w:lineRule="auto"/>
            </w:pPr>
            <w:r>
              <w:rPr>
                <w:sz w:val="18"/>
              </w:rPr>
              <w:t>20</w:t>
            </w:r>
          </w:p>
        </w:tc>
        <w:tc>
          <w:tcPr>
            <w:tcW w:w="2212" w:type="dxa"/>
          </w:tcPr>
          <w:p w14:paraId="1000001D" w14:textId="1000001E" w:rsidR="00A17E3C" w:rsidRDefault="00A17E3C">
            <w:pPr>
              <w:spacing w:before="20" w:after="20" w:line="252" w:lineRule="auto"/>
            </w:pPr>
            <w:r>
              <w:rPr>
                <w:sz w:val="18"/>
              </w:rPr>
              <w:t>15 / 4 / 1</w:t>
            </w:r>
          </w:p>
        </w:tc>
        <w:tc>
          <w:tcPr>
            <w:tcW w:w="2212" w:type="dxa"/>
          </w:tcPr>
          <w:p w14:paraId="1000001F" w14:textId="10000020" w:rsidR="00A17E3C" w:rsidRDefault="00A17E3C">
            <w:pPr>
              <w:spacing w:before="20" w:after="20" w:line="252" w:lineRule="auto"/>
            </w:pPr>
            <w:r>
              <w:rPr>
                <w:sz w:val="18"/>
              </w:rPr>
              <w:t>12 / 7 / 1</w:t>
            </w:r>
          </w:p>
        </w:tc>
      </w:tr>
      <w:tr w:rsidR="00A17E3C" w14:paraId="10000021" w14:textId="10000022">
        <w:trPr>
          <w:cantSplit/>
          <w:jc w:val="center"/>
        </w:trPr>
        <w:tc>
          <w:tcPr>
            <w:tcW w:w="4424" w:type="dxa"/>
            <w:shd w:val="clear" w:color="auto" w:fill="EEF3F9"/>
          </w:tcPr>
          <w:p w14:paraId="10000023" w14:textId="10000024" w:rsidR="00A17E3C" w:rsidRDefault="00A17E3C">
            <w:pPr>
              <w:spacing w:before="20" w:after="20" w:line="252" w:lineRule="auto"/>
            </w:pPr>
            <w:r>
              <w:rPr>
                <w:sz w:val="18"/>
              </w:rPr>
              <w:t>Round4: source contracts / source</w:t>
            </w:r>
            <w:r>
              <w:rPr>
                <w:sz w:val="18"/>
              </w:rPr>
              <w:t>別契約</w:t>
            </w:r>
          </w:p>
        </w:tc>
        <w:tc>
          <w:tcPr>
            <w:tcW w:w="790" w:type="dxa"/>
            <w:shd w:val="clear" w:color="auto" w:fill="EEF3F9"/>
          </w:tcPr>
          <w:p w14:paraId="10000025" w14:textId="10000026" w:rsidR="00A17E3C" w:rsidRDefault="00A17E3C">
            <w:pPr>
              <w:spacing w:before="20" w:after="20" w:line="252" w:lineRule="auto"/>
            </w:pPr>
            <w:r>
              <w:rPr>
                <w:sz w:val="18"/>
              </w:rPr>
              <w:t>20</w:t>
            </w:r>
          </w:p>
        </w:tc>
        <w:tc>
          <w:tcPr>
            <w:tcW w:w="2212" w:type="dxa"/>
            <w:shd w:val="clear" w:color="auto" w:fill="EEF3F9"/>
          </w:tcPr>
          <w:p w14:paraId="10000027" w14:textId="10000028" w:rsidR="00A17E3C" w:rsidRDefault="00A17E3C">
            <w:pPr>
              <w:spacing w:before="20" w:after="20" w:line="252" w:lineRule="auto"/>
            </w:pPr>
            <w:r>
              <w:rPr>
                <w:sz w:val="18"/>
              </w:rPr>
              <w:t>10 / 10 / 0</w:t>
            </w:r>
          </w:p>
        </w:tc>
        <w:tc>
          <w:tcPr>
            <w:tcW w:w="2212" w:type="dxa"/>
            <w:shd w:val="clear" w:color="auto" w:fill="EEF3F9"/>
          </w:tcPr>
          <w:p w14:paraId="10000029" w14:textId="1000002A" w:rsidR="00A17E3C" w:rsidRDefault="00A17E3C">
            <w:pPr>
              <w:spacing w:before="20" w:after="20" w:line="252" w:lineRule="auto"/>
            </w:pPr>
            <w:r>
              <w:rPr>
                <w:sz w:val="18"/>
              </w:rPr>
              <w:t>9 / 11 / 0</w:t>
            </w:r>
          </w:p>
        </w:tc>
      </w:tr>
      <w:tr w:rsidR="00A17E3C" w14:paraId="1000002B" w14:textId="1000002C">
        <w:trPr>
          <w:cantSplit/>
          <w:jc w:val="center"/>
        </w:trPr>
        <w:tc>
          <w:tcPr>
            <w:tcW w:w="4424" w:type="dxa"/>
          </w:tcPr>
          <w:p w14:paraId="1000002D" w14:textId="1000002E" w:rsidR="00A17E3C" w:rsidRDefault="00A17E3C">
            <w:pPr>
              <w:spacing w:before="20" w:after="20" w:line="252" w:lineRule="auto"/>
            </w:pPr>
            <w:r>
              <w:rPr>
                <w:sz w:val="18"/>
              </w:rPr>
              <w:t xml:space="preserve">Round5: table-first / </w:t>
            </w:r>
            <w:r>
              <w:rPr>
                <w:sz w:val="18"/>
              </w:rPr>
              <w:t>表中心の回答</w:t>
            </w:r>
          </w:p>
        </w:tc>
        <w:tc>
          <w:tcPr>
            <w:tcW w:w="790" w:type="dxa"/>
          </w:tcPr>
          <w:p w14:paraId="1000002F" w14:textId="10000030" w:rsidR="00A17E3C" w:rsidRDefault="00A17E3C">
            <w:pPr>
              <w:spacing w:before="20" w:after="20" w:line="252" w:lineRule="auto"/>
            </w:pPr>
            <w:r>
              <w:rPr>
                <w:sz w:val="18"/>
              </w:rPr>
              <w:t>20</w:t>
            </w:r>
          </w:p>
        </w:tc>
        <w:tc>
          <w:tcPr>
            <w:tcW w:w="2212" w:type="dxa"/>
          </w:tcPr>
          <w:p w14:paraId="10000031" w14:textId="10000032" w:rsidR="00A17E3C" w:rsidRDefault="00A17E3C">
            <w:pPr>
              <w:spacing w:before="20" w:after="20" w:line="252" w:lineRule="auto"/>
            </w:pPr>
            <w:r>
              <w:rPr>
                <w:sz w:val="18"/>
              </w:rPr>
              <w:t>19 / 1 / 0</w:t>
            </w:r>
          </w:p>
        </w:tc>
        <w:tc>
          <w:tcPr>
            <w:tcW w:w="2212" w:type="dxa"/>
          </w:tcPr>
          <w:p w14:paraId="10000033" w14:textId="10000034" w:rsidR="00A17E3C" w:rsidRDefault="00A17E3C">
            <w:pPr>
              <w:spacing w:before="20" w:after="20" w:line="252" w:lineRule="auto"/>
            </w:pPr>
            <w:r>
              <w:rPr>
                <w:sz w:val="18"/>
              </w:rPr>
              <w:t>15 / 5 / 0</w:t>
            </w:r>
          </w:p>
        </w:tc>
      </w:tr>
      <w:tr w:rsidR="00A17E3C" w14:paraId="10000035" w14:textId="10000036">
        <w:trPr>
          <w:cantSplit/>
          <w:jc w:val="center"/>
        </w:trPr>
        <w:tc>
          <w:tcPr>
            <w:tcW w:w="4424" w:type="dxa"/>
            <w:shd w:val="clear" w:color="auto" w:fill="EEF3F9"/>
          </w:tcPr>
          <w:p w14:paraId="10000037" w14:textId="10000038" w:rsidR="00A17E3C" w:rsidRDefault="00A17E3C">
            <w:pPr>
              <w:spacing w:before="20" w:after="20" w:line="252" w:lineRule="auto"/>
            </w:pPr>
            <w:r>
              <w:rPr>
                <w:sz w:val="18"/>
              </w:rPr>
              <w:t xml:space="preserve">Round6: Japanese source contract / </w:t>
            </w:r>
            <w:r>
              <w:rPr>
                <w:sz w:val="18"/>
              </w:rPr>
              <w:t>日本語ソース契約</w:t>
            </w:r>
          </w:p>
        </w:tc>
        <w:tc>
          <w:tcPr>
            <w:tcW w:w="790" w:type="dxa"/>
            <w:shd w:val="clear" w:color="auto" w:fill="EEF3F9"/>
          </w:tcPr>
          <w:p w14:paraId="10000039" w14:textId="1000003A" w:rsidR="00A17E3C" w:rsidRDefault="00A17E3C">
            <w:pPr>
              <w:spacing w:before="20" w:after="20" w:line="252" w:lineRule="auto"/>
            </w:pPr>
            <w:r>
              <w:rPr>
                <w:sz w:val="18"/>
              </w:rPr>
              <w:t>20</w:t>
            </w:r>
          </w:p>
        </w:tc>
        <w:tc>
          <w:tcPr>
            <w:tcW w:w="2212" w:type="dxa"/>
            <w:shd w:val="clear" w:color="auto" w:fill="EEF3F9"/>
          </w:tcPr>
          <w:p w14:paraId="1000003B" w14:textId="1000003C" w:rsidR="00A17E3C" w:rsidRDefault="00A17E3C">
            <w:pPr>
              <w:spacing w:before="20" w:after="20" w:line="252" w:lineRule="auto"/>
            </w:pPr>
            <w:r>
              <w:rPr>
                <w:sz w:val="18"/>
              </w:rPr>
              <w:t>17 / 2 / 1</w:t>
            </w:r>
          </w:p>
        </w:tc>
        <w:tc>
          <w:tcPr>
            <w:tcW w:w="2212" w:type="dxa"/>
            <w:shd w:val="clear" w:color="auto" w:fill="EEF3F9"/>
          </w:tcPr>
          <w:p w14:paraId="1000003D" w14:textId="1000003E" w:rsidR="00A17E3C" w:rsidRDefault="00A17E3C">
            <w:pPr>
              <w:spacing w:before="20" w:after="20" w:line="252" w:lineRule="auto"/>
            </w:pPr>
            <w:r>
              <w:rPr>
                <w:sz w:val="18"/>
              </w:rPr>
              <w:t>17 / 2 / 1</w:t>
            </w:r>
          </w:p>
        </w:tc>
      </w:tr>
      <w:tr w:rsidR="00A17E3C" w14:paraId="1000003F" w14:textId="10000040">
        <w:trPr>
          <w:cantSplit/>
          <w:jc w:val="center"/>
        </w:trPr>
        <w:tc>
          <w:tcPr>
            <w:tcW w:w="4424" w:type="dxa"/>
          </w:tcPr>
          <w:p w14:paraId="10000041" w14:textId="10000042" w:rsidR="00A17E3C" w:rsidRDefault="00A17E3C">
            <w:pPr>
              <w:spacing w:before="20" w:after="20" w:line="252" w:lineRule="auto"/>
            </w:pPr>
            <w:r>
              <w:rPr>
                <w:sz w:val="18"/>
              </w:rPr>
              <w:t xml:space="preserve">Round7: schema-grounded views / </w:t>
            </w:r>
            <w:r>
              <w:rPr>
                <w:sz w:val="18"/>
              </w:rPr>
              <w:t>宣言スキーマを照会可能に</w:t>
            </w:r>
          </w:p>
        </w:tc>
        <w:tc>
          <w:tcPr>
            <w:tcW w:w="790" w:type="dxa"/>
          </w:tcPr>
          <w:p w14:paraId="10000043" w14:textId="10000044" w:rsidR="00A17E3C" w:rsidRDefault="00A17E3C">
            <w:pPr>
              <w:spacing w:before="20" w:after="20" w:line="252" w:lineRule="auto"/>
            </w:pPr>
            <w:r>
              <w:rPr>
                <w:sz w:val="18"/>
              </w:rPr>
              <w:t>20</w:t>
            </w:r>
          </w:p>
        </w:tc>
        <w:tc>
          <w:tcPr>
            <w:tcW w:w="2212" w:type="dxa"/>
          </w:tcPr>
          <w:p w14:paraId="10000045" w14:textId="10000046" w:rsidR="00A17E3C" w:rsidRDefault="00A17E3C">
            <w:pPr>
              <w:spacing w:before="20" w:after="20" w:line="252" w:lineRule="auto"/>
            </w:pPr>
            <w:r>
              <w:rPr>
                <w:sz w:val="18"/>
              </w:rPr>
              <w:t>20 / 0 / 0</w:t>
            </w:r>
          </w:p>
        </w:tc>
        <w:tc>
          <w:tcPr>
            <w:tcW w:w="2212" w:type="dxa"/>
          </w:tcPr>
          <w:p w14:paraId="10000047" w14:textId="10000048" w:rsidR="00A17E3C" w:rsidRDefault="00A17E3C">
            <w:pPr>
              <w:spacing w:before="20" w:after="20" w:line="252" w:lineRule="auto"/>
            </w:pPr>
            <w:r>
              <w:rPr>
                <w:sz w:val="18"/>
              </w:rPr>
              <w:t>20 / 0 / 0</w:t>
            </w:r>
          </w:p>
        </w:tc>
      </w:tr>
      <w:tr w:rsidR="00A17E3C" w14:paraId="10000049" w14:textId="1000004A">
        <w:trPr>
          <w:cantSplit/>
          <w:jc w:val="center"/>
        </w:trPr>
        <w:tc>
          <w:tcPr>
            <w:tcW w:w="4424" w:type="dxa"/>
            <w:shd w:val="clear" w:color="auto" w:fill="EEF3F9"/>
          </w:tcPr>
          <w:p w14:paraId="1000004B" w14:textId="1000004C" w:rsidR="00A17E3C" w:rsidRDefault="00A17E3C">
            <w:pPr>
              <w:keepNext/>
              <w:spacing w:before="20" w:after="20" w:line="252" w:lineRule="auto"/>
            </w:pPr>
            <w:r>
              <w:rPr>
                <w:sz w:val="18"/>
              </w:rPr>
              <w:t xml:space="preserve">Expanded known regression / </w:t>
            </w:r>
            <w:r>
              <w:rPr>
                <w:sz w:val="18"/>
              </w:rPr>
              <w:t>拡大既知回帰</w:t>
            </w:r>
          </w:p>
        </w:tc>
        <w:tc>
          <w:tcPr>
            <w:tcW w:w="790" w:type="dxa"/>
            <w:shd w:val="clear" w:color="auto" w:fill="EEF3F9"/>
          </w:tcPr>
          <w:p w14:paraId="1000004D" w14:textId="1000004E" w:rsidR="00A17E3C" w:rsidRDefault="00A17E3C">
            <w:pPr>
              <w:keepNext/>
              <w:spacing w:before="20" w:after="20" w:line="252" w:lineRule="auto"/>
            </w:pPr>
            <w:r>
              <w:rPr>
                <w:sz w:val="18"/>
              </w:rPr>
              <w:t>32</w:t>
            </w:r>
          </w:p>
        </w:tc>
        <w:tc>
          <w:tcPr>
            <w:tcW w:w="2212" w:type="dxa"/>
            <w:shd w:val="clear" w:color="auto" w:fill="EEF3F9"/>
          </w:tcPr>
          <w:p w14:paraId="1000004F" w14:textId="10000050" w:rsidR="00A17E3C" w:rsidRDefault="00A17E3C">
            <w:pPr>
              <w:keepNext/>
              <w:spacing w:before="20" w:after="20" w:line="252" w:lineRule="auto"/>
            </w:pPr>
            <w:r>
              <w:rPr>
                <w:sz w:val="18"/>
              </w:rPr>
              <w:t>29 / 2 / 1</w:t>
            </w:r>
          </w:p>
        </w:tc>
        <w:tc>
          <w:tcPr>
            <w:tcW w:w="2212" w:type="dxa"/>
            <w:shd w:val="clear" w:color="auto" w:fill="EEF3F9"/>
          </w:tcPr>
          <w:p w14:paraId="10000051" w14:textId="10000052" w:rsidR="00A17E3C" w:rsidRDefault="00A17E3C">
            <w:pPr>
              <w:keepNext/>
              <w:spacing w:before="20" w:after="20" w:line="252" w:lineRule="auto"/>
            </w:pPr>
            <w:r>
              <w:rPr>
                <w:sz w:val="18"/>
              </w:rPr>
              <w:t>29 / 2 / 1</w:t>
            </w:r>
          </w:p>
        </w:tc>
      </w:tr>
    </w:tbl>
    <w:p w14:paraId="10000053" w14:textId="10000054" w:rsidR="00A17E3C" w:rsidRDefault="00A17E3C">
      <w:pPr>
        <w:pStyle w:val="Caption"/>
        <w:spacing w:before="40" w:after="200"/>
      </w:pPr>
      <w:r>
        <w:rPr>
          <w:sz w:val="17"/>
        </w:rPr>
        <w:t>表</w:t>
      </w:r>
      <w:r>
        <w:rPr>
          <w:sz w:val="17"/>
        </w:rPr>
        <w:t xml:space="preserve"> 1</w:t>
      </w:r>
      <w:r>
        <w:rPr>
          <w:sz w:val="17"/>
        </w:rPr>
        <w:t xml:space="preserve">　評価結果</w:t>
      </w:r>
      <w:r>
        <w:rPr>
          <w:sz w:val="17"/>
        </w:rPr>
        <w:t xml:space="preserve"> / Measured results</w:t>
      </w:r>
    </w:p>
    <w:p w14:paraId="10000055" w14:textId="10000056" w:rsidR="00A17E3C" w:rsidRDefault="00A17E3C">
      <w:pPr>
        <w:pStyle w:val="Heading1"/>
        <w:pBdr>
          <w:bottom w:val="single" w:sz="6" w:space="0" w:color="D0D7DE"/>
        </w:pBdr>
        <w:spacing w:before="520" w:after="120"/>
      </w:pPr>
      <w:r>
        <w:t>未使用セット</w:t>
      </w:r>
      <w:r>
        <w:t xml:space="preserve"> / Previously unused questions</w:t>
      </w:r>
    </w:p>
    <w:p w14:paraId="10000057" w14:textId="10000058" w:rsidR="00A17E3C" w:rsidRDefault="00A17E3C">
      <w:r>
        <w:t>未使用</w:t>
      </w:r>
      <w:r>
        <w:t>12</w:t>
      </w:r>
      <w:r>
        <w:t>問</w:t>
      </w:r>
      <w:r>
        <w:t xml:space="preserve">: </w:t>
      </w:r>
      <w:r>
        <w:t>事実</w:t>
      </w:r>
      <w:r>
        <w:t xml:space="preserve"> 10 / 2 / 0</w:t>
      </w:r>
      <w:r>
        <w:t>、内容</w:t>
      </w:r>
      <w:r>
        <w:t xml:space="preserve"> 9 / 3 / 0</w:t>
      </w:r>
      <w:r>
        <w:t>。開発セットとは別の分母です。</w:t>
      </w:r>
    </w:p>
    <w:p w14:paraId="10000059" w14:textId="1000005A" w:rsidR="00A17E3C" w:rsidRDefault="00A17E3C">
      <w:r>
        <w:t>この初回検証で見つかった問題を改善に使ったため、その質問は以後は既知の開発問題です。拡大</w:t>
      </w:r>
      <w:r>
        <w:t>32</w:t>
      </w:r>
      <w:r>
        <w:t>問は、元の開発問題とこれらの質問を同一の新構成で再評価する枠として固定しました。完了しない枠も</w:t>
      </w:r>
      <w:r>
        <w:t>UNKNOWN</w:t>
      </w:r>
      <w:r>
        <w:t>として保持し、過去回答の合算や新しい独立検証とは扱いません。拡大後の構成に対する別の未使用セットは未実施です。</w:t>
      </w:r>
    </w:p>
    <w:p w14:paraId="1000005B" w14:textId="1000005C" w:rsidR="00A17E3C" w:rsidRDefault="00A17E3C">
      <w:r>
        <w:t>Previously unused questions are separate from the known development cohort. These measured results do not guarantee correctness for arbitrary future questions.</w:t>
      </w:r>
    </w:p>
    <w:p w14:paraId="1000005D" w14:textId="1000005E" w:rsidR="00A17E3C" w:rsidRDefault="00A17E3C">
      <w:pPr>
        <w:pStyle w:val="Heading1"/>
        <w:pBdr>
          <w:bottom w:val="single" w:sz="6" w:space="0" w:color="D0D7DE"/>
        </w:pBdr>
        <w:spacing w:before="520" w:after="120"/>
      </w:pPr>
      <w:r>
        <w:lastRenderedPageBreak/>
        <w:t>実装した改善</w:t>
      </w:r>
      <w:r>
        <w:t xml:space="preserve"> / Implemented changes</w:t>
      </w:r>
    </w:p>
    <w:p w14:paraId="1000005F" w14:textId="10000060" w:rsidR="00A17E3C" w:rsidRDefault="00A17E3C">
      <w:r>
        <w:t>全体指示と</w:t>
      </w:r>
      <w:r>
        <w:t>4</w:t>
      </w:r>
      <w:r>
        <w:t>ソースの指示を整理し、静的</w:t>
      </w:r>
      <w:r>
        <w:t>seed</w:t>
      </w:r>
      <w:r>
        <w:t>・原始観測・</w:t>
      </w:r>
      <w:r>
        <w:t>Gold</w:t>
      </w:r>
      <w:r>
        <w:t>を分離しました。質問の意味、必須の</w:t>
      </w:r>
      <w:r>
        <w:t>ID/</w:t>
      </w:r>
      <w:r>
        <w:t>名前</w:t>
      </w:r>
      <w:r>
        <w:t>/</w:t>
      </w:r>
      <w:r>
        <w:t>県情報、全件一覧、</w:t>
      </w:r>
      <w:r>
        <w:t>UTC/JST</w:t>
      </w:r>
      <w:r>
        <w:t>、</w:t>
      </w:r>
      <w:r>
        <w:t>BLANK</w:t>
      </w:r>
      <w:r>
        <w:t>、宣言向きと探索向きを明示しています。数値の正しさだけでなく、必須項目と説明の正しさも判定しています。</w:t>
      </w:r>
    </w:p>
    <w:p w14:paraId="10000061" w14:textId="10000062" w:rsidR="00A17E3C" w:rsidRDefault="00A17E3C">
      <w:r>
        <w:t>既存</w:t>
      </w:r>
      <w:r>
        <w:t>4</w:t>
      </w:r>
      <w:r>
        <w:t>ビューに加え、実</w:t>
      </w:r>
      <w:r>
        <w:t>Ontology</w:t>
      </w:r>
      <w:r>
        <w:t>定義の</w:t>
      </w:r>
      <w:r>
        <w:t>15</w:t>
      </w:r>
      <w:r>
        <w:t>関係を照合した</w:t>
      </w:r>
      <w:r>
        <w:t>agent_relationship_dictionary</w:t>
      </w:r>
      <w:r>
        <w:t>と、格納キー・両側の</w:t>
      </w:r>
      <w:r>
        <w:t>ID/</w:t>
      </w:r>
      <w:r>
        <w:t>名前・指標・宣言方向を揃えた</w:t>
      </w:r>
      <w:r>
        <w:t>agent_prefecture_category_metric</w:t>
      </w:r>
      <w:r>
        <w:t>を追加しました。</w:t>
      </w:r>
      <w:r>
        <w:t>662</w:t>
      </w:r>
      <w:r>
        <w:t>指標行、</w:t>
      </w:r>
      <w:r>
        <w:t>80,000</w:t>
      </w:r>
      <w:r>
        <w:t>寄附、</w:t>
      </w:r>
      <w:r>
        <w:t>1,344,099,000</w:t>
      </w:r>
      <w:r>
        <w:t>円を維持し、全キー</w:t>
      </w:r>
      <w:r>
        <w:t>/</w:t>
      </w:r>
      <w:r>
        <w:t>値の一致と</w:t>
      </w:r>
      <w:r>
        <w:t>SQL</w:t>
      </w:r>
      <w:r>
        <w:t>定義の</w:t>
      </w:r>
      <w:r>
        <w:t>readback</w:t>
      </w:r>
      <w:r>
        <w:t>を確認しました。これはスキーマ情報の</w:t>
      </w:r>
      <w:r>
        <w:t>SQL</w:t>
      </w:r>
      <w:r>
        <w:t>ビュー化であり、元データや</w:t>
      </w:r>
      <w:r>
        <w:t>Ontology</w:t>
      </w:r>
      <w:r>
        <w:t>定義の変更ではありません。</w:t>
      </w:r>
    </w:p>
    <w:p w14:paraId="10000063" w14:textId="10000064" w:rsidR="00A17E3C" w:rsidRDefault="00A17E3C">
      <w:r>
        <w:t>比較用</w:t>
      </w:r>
      <w:r>
        <w:t>Agent</w:t>
      </w:r>
      <w:r>
        <w:t>だけで</w:t>
      </w:r>
      <w:r>
        <w:t>2</w:t>
      </w:r>
      <w:r>
        <w:t>ビューを選択し、重複する元の県別カテゴリ指標テーブルを選択解除しました。サービスが検出した</w:t>
      </w:r>
      <w:r>
        <w:t>view</w:t>
      </w:r>
      <w:r>
        <w:t>型・</w:t>
      </w:r>
      <w:r>
        <w:t>ID</w:t>
      </w:r>
      <w:r>
        <w:t>・列型を使用し、架空の</w:t>
      </w:r>
      <w:r>
        <w:t>table</w:t>
      </w:r>
      <w:r>
        <w:t>ノードを作っていません。主</w:t>
      </w:r>
      <w:r>
        <w:t>Agent</w:t>
      </w:r>
      <w:r>
        <w:t>、元の比較候補、主</w:t>
      </w:r>
      <w:r>
        <w:t>Ontology</w:t>
      </w:r>
      <w:r>
        <w:t>、モデルメジャー、</w:t>
      </w:r>
      <w:r>
        <w:t>Notebook01/05</w:t>
      </w:r>
      <w:r>
        <w:t>の実行回数は保持しています。</w:t>
      </w:r>
    </w:p>
    <w:p w14:paraId="10000065" w14:textId="10000066" w:rsidR="00A17E3C" w:rsidRDefault="00A17E3C">
      <w:r>
        <w:t>後続の質問で空結果の誤判定、本人情報の欠落、高額フラグの比較記号の誤説明が見つかったため、実データの値ドメイン、短い一覧でも必要な本人情報、</w:t>
      </w:r>
      <w:r>
        <w:t>Notebook05</w:t>
      </w:r>
      <w:r>
        <w:t>由来の厳密な</w:t>
      </w:r>
      <w:r>
        <w:t>57,000</w:t>
      </w:r>
      <w:r>
        <w:t>円超・同額除外を明示しました。最終例は</w:t>
      </w:r>
      <w:r>
        <w:t>SQL15</w:t>
      </w:r>
      <w:r>
        <w:t>件・</w:t>
      </w:r>
      <w:r>
        <w:t>KQL5</w:t>
      </w:r>
      <w:r>
        <w:t>件です。特定質問の正答件数や合計金額は埋め込まず、</w:t>
      </w:r>
      <w:r>
        <w:t>57,000</w:t>
      </w:r>
      <w:r>
        <w:t>円は元</w:t>
      </w:r>
      <w:r>
        <w:t>Notebook</w:t>
      </w:r>
      <w:r>
        <w:t>の既存ビジネスルールとして扱っています。</w:t>
      </w:r>
    </w:p>
    <w:p w14:paraId="10000067" w14:textId="10000068" w:rsidR="00A17E3C" w:rsidRDefault="00A17E3C">
      <w:r>
        <w:t>The native candidate separates static seed, raw observations and source-owned Gold measures, retains required business identities, and distinguishes declared relationship direction from traversal direction.</w:t>
      </w:r>
    </w:p>
    <w:p w14:paraId="10000069" w14:textId="1000006A" w:rsidR="00A17E3C" w:rsidRDefault="00A17E3C">
      <w:r>
        <w:t>Two additive SQL views expose verified Ontology declarations and existing metric keys without changing base data, original views, the main Agent, the Ontology or model measures. Direct queries and native example admission are separate from answer-quality judgments.</w:t>
      </w:r>
    </w:p>
    <w:p w14:paraId="1000006B" w14:textId="1000006C" w:rsidR="00A17E3C" w:rsidRDefault="00A17E3C">
      <w:r>
        <w:t>Every configuration and first-pass failure is retained. The expanded run reuses complete question/oracle/criterion objects on one new configuration; formerly unused questions used for correction are now development cases, not independent validation.</w:t>
      </w:r>
    </w:p>
    <w:p w14:paraId="1000006D" w14:textId="1000006E" w:rsidR="00A17E3C" w:rsidRDefault="00A17E3C">
      <w:pPr>
        <w:pStyle w:val="Heading1"/>
        <w:pBdr>
          <w:bottom w:val="single" w:sz="6" w:space="0" w:color="D0D7DE"/>
        </w:pBdr>
        <w:spacing w:before="520" w:after="120"/>
      </w:pPr>
      <w:r>
        <w:t>適用と確認</w:t>
      </w:r>
      <w:r>
        <w:t xml:space="preserve"> / Apply and verify</w:t>
      </w:r>
    </w:p>
    <w:p w14:paraId="1000006F" w14:textId="10000070" w:rsidR="00A17E3C" w:rsidRDefault="00A17E3C">
      <w:r>
        <w:t>比較用</w:t>
      </w:r>
      <w:r>
        <w:t>Agent</w:t>
      </w:r>
      <w:r>
        <w:t>を使い、既存の主</w:t>
      </w:r>
      <w:r>
        <w:t>Agent</w:t>
      </w:r>
      <w:r>
        <w:t>と履歴を保持します。データ取得先・関係スキーマ・最終回答列を分けて設定します。</w:t>
      </w:r>
    </w:p>
    <w:p w14:paraId="10000071" w14:textId="10000072" w:rsidR="00A17E3C" w:rsidRDefault="00A17E3C">
      <w:r>
        <w:t>SQL/KQL</w:t>
      </w:r>
      <w:r>
        <w:t>例は実ソースで確認した後、</w:t>
      </w:r>
      <w:r>
        <w:t xml:space="preserve">Setup &gt; </w:t>
      </w:r>
      <w:r>
        <w:t>各データソース</w:t>
      </w:r>
      <w:r>
        <w:t xml:space="preserve"> &gt; Example queries </w:t>
      </w:r>
      <w:r>
        <w:t>でエラーと検証待ちがないことを確認します。直接</w:t>
      </w:r>
      <w:r>
        <w:t>SQL</w:t>
      </w:r>
      <w:r>
        <w:t>が成功しただけでは</w:t>
      </w:r>
      <w:r>
        <w:t>Agent</w:t>
      </w:r>
      <w:r>
        <w:t>内の例の参照を証明しません。</w:t>
      </w:r>
    </w:p>
    <w:p w14:paraId="10000073" w14:textId="10000074" w:rsidR="00A17E3C" w:rsidRDefault="00A17E3C">
      <w:r>
        <w:lastRenderedPageBreak/>
        <w:t>設定の前後と公開後に定義を読み戻します。質問・期待値・必須条件を固定し、構成ごとに各問</w:t>
      </w:r>
      <w:r>
        <w:t>1</w:t>
      </w:r>
      <w:r>
        <w:t>回だけ送信します。通信エラー、不明、未送信を分母から除外しません。</w:t>
      </w:r>
    </w:p>
    <w:p w14:paraId="10000075" w14:textId="10000076" w:rsidR="00A17E3C" w:rsidRDefault="00A17E3C">
      <w:r>
        <w:t>一覧はソース側の全件数と表示</w:t>
      </w:r>
      <w:r>
        <w:t>ID</w:t>
      </w:r>
      <w:r>
        <w:t>集合を照合し、ランキングは安定</w:t>
      </w:r>
      <w:r>
        <w:t>ID</w:t>
      </w:r>
      <w:r>
        <w:t>で順序を確定します。暦年と</w:t>
      </w:r>
      <w:r>
        <w:t>snapshot</w:t>
      </w:r>
      <w:r>
        <w:t>名、観測時刻と合成配信メタデータ、</w:t>
      </w:r>
      <w:r>
        <w:t>BLANK</w:t>
      </w:r>
      <w:r>
        <w:t>と</w:t>
      </w:r>
      <w:r>
        <w:t>0</w:t>
      </w:r>
      <w:r>
        <w:t>を区別します。</w:t>
      </w:r>
    </w:p>
    <w:p w14:paraId="10000077" w14:textId="10000078" w:rsidR="00A17E3C" w:rsidRDefault="00A17E3C">
      <w:pPr>
        <w:pStyle w:val="Heading1"/>
        <w:pBdr>
          <w:bottom w:val="single" w:sz="6" w:space="0" w:color="D0D7DE"/>
        </w:pBdr>
        <w:spacing w:before="520" w:after="120"/>
      </w:pPr>
      <w:r>
        <w:t>残る事項</w:t>
      </w:r>
      <w:r>
        <w:t xml:space="preserve"> / Remaining findings</w:t>
      </w:r>
    </w:p>
    <w:p w14:paraId="10000079" w14:textId="1000007A" w:rsidR="00A17E3C" w:rsidRDefault="00A17E3C">
      <w:r>
        <w:t>拡大</w:t>
      </w:r>
      <w:r>
        <w:t>32</w:t>
      </w:r>
      <w:r>
        <w:t>枠の最終結果は</w:t>
      </w:r>
      <w:r>
        <w:t>29 PASS /2 FAIL /1 UNKNOWN</w:t>
      </w:r>
      <w:r>
        <w:t>です。</w:t>
      </w:r>
      <w:r>
        <w:t>UTC</w:t>
      </w:r>
      <w:r>
        <w:t>と明示された時間集計を</w:t>
      </w:r>
      <w:r>
        <w:t>JST</w:t>
      </w:r>
      <w:r>
        <w:t>日に読み替える問題、</w:t>
      </w:r>
      <w:r>
        <w:t>Gold</w:t>
      </w:r>
      <w:r>
        <w:t>メジャーの</w:t>
      </w:r>
      <w:r>
        <w:t>StaticSeed</w:t>
      </w:r>
      <w:r>
        <w:t>条件を静的</w:t>
      </w:r>
      <w:r>
        <w:t>SQL</w:t>
      </w:r>
      <w:r>
        <w:t>の</w:t>
      </w:r>
      <w:r>
        <w:t>StaticSyntheticSnapshot</w:t>
      </w:r>
      <w:r>
        <w:t>と取り違えて説明する問題が残りました。</w:t>
      </w:r>
      <w:r>
        <w:t>0 FAIL</w:t>
      </w:r>
      <w:r>
        <w:t>・全問合格としては扱いません。追加試験で発見した電子決済の空結果、本人情報の省略、高額フラグの同額包含の</w:t>
      </w:r>
      <w:r>
        <w:t>3</w:t>
      </w:r>
      <w:r>
        <w:t>問題は、この構成では改善を確認しましたが、別の退行を隠していません。</w:t>
      </w:r>
    </w:p>
    <w:p w14:paraId="1000007B" w14:textId="1000007C" w:rsidR="00A17E3C" w:rsidRDefault="00A17E3C">
      <w:r>
        <w:t>拡大</w:t>
      </w:r>
      <w:r>
        <w:t>32</w:t>
      </w:r>
      <w:r>
        <w:t>枠の初回実行は</w:t>
      </w:r>
      <w:r>
        <w:t>11</w:t>
      </w:r>
      <w:r>
        <w:t>業務回答の後、</w:t>
      </w:r>
      <w:r>
        <w:t>1</w:t>
      </w:r>
      <w:r>
        <w:t>問の</w:t>
      </w:r>
      <w:r>
        <w:t>HTTP500(native</w:t>
      </w:r>
      <w:r>
        <w:t>内部エラー</w:t>
      </w:r>
      <w:r>
        <w:t>)</w:t>
      </w:r>
      <w:r>
        <w:t>と、次の問の送信前定義取得タイムアウトで停止しました。送信結果不明の</w:t>
      </w:r>
      <w:r>
        <w:t>1</w:t>
      </w:r>
      <w:r>
        <w:t>問は再送せず保持しています。定義の読み取りが再び成功し同一構成を確認できた後、元の未送信</w:t>
      </w:r>
      <w:r>
        <w:t>20</w:t>
      </w:r>
      <w:r>
        <w:t>枠だけを各</w:t>
      </w:r>
      <w:r>
        <w:t>1</w:t>
      </w:r>
      <w:r>
        <w:t>回処理する、事後の明示的な手順変更を行い、</w:t>
      </w:r>
      <w:r>
        <w:t>20</w:t>
      </w:r>
      <w:r>
        <w:t>業務回答を取得しました。これは事前登録済みの再開機能ではなく、元の停止記録・不明送信・全</w:t>
      </w:r>
      <w:r>
        <w:t>32</w:t>
      </w:r>
      <w:r>
        <w:t>枠を保存した追加続行です。取得済み</w:t>
      </w:r>
      <w:r>
        <w:t>31</w:t>
      </w:r>
      <w:r>
        <w:t>回答を審査し、不明</w:t>
      </w:r>
      <w:r>
        <w:t>1</w:t>
      </w:r>
      <w:r>
        <w:t>枠を</w:t>
      </w:r>
      <w:r>
        <w:t>UNKNOWN</w:t>
      </w:r>
      <w:r>
        <w:t>のまま残しています。</w:t>
      </w:r>
    </w:p>
    <w:p w14:paraId="1000007D" w14:textId="1000007E" w:rsidR="00A17E3C" w:rsidRDefault="00A17E3C">
      <w:r>
        <w:t>任意の将来質問に対する無誤答や、</w:t>
      </w:r>
      <w:r>
        <w:t>100</w:t>
      </w:r>
      <w:r>
        <w:t>問全体の品質合格を保証する結果ではありません。追加の質問を改善に用いた後は、その質問を独立した未使用検証として扱いません。主</w:t>
      </w:r>
      <w:r>
        <w:t>Agent</w:t>
      </w:r>
      <w:r>
        <w:t>へは昇格していません。</w:t>
      </w:r>
    </w:p>
    <w:p w14:paraId="1000007F" w14:textId="10000080" w:rsidR="00A17E3C" w:rsidRDefault="00A17E3C">
      <w:r>
        <w:t>審査は</w:t>
      </w:r>
      <w:r>
        <w:t>AI</w:t>
      </w:r>
      <w:r>
        <w:t>補助であり、人間による独立</w:t>
      </w:r>
      <w:r>
        <w:t>sign-off</w:t>
      </w:r>
      <w:r>
        <w:t>ではありません。内部クエリ、内部返却</w:t>
      </w:r>
      <w:r>
        <w:t>rowset</w:t>
      </w:r>
      <w:r>
        <w:t>、実行回数、</w:t>
      </w:r>
      <w:r>
        <w:t>backend</w:t>
      </w:r>
      <w:r>
        <w:t>会話</w:t>
      </w:r>
      <w:r>
        <w:t>ID</w:t>
      </w:r>
      <w:r>
        <w:t>は</w:t>
      </w:r>
      <w:r>
        <w:t>UNOBSERVABLE</w:t>
      </w:r>
      <w:r>
        <w:t>です。新しい</w:t>
      </w:r>
      <w:r>
        <w:t>HTTP</w:t>
      </w:r>
      <w:r>
        <w:t>クライアントは、内部会話の新規性を独立に証明しません。</w:t>
      </w:r>
    </w:p>
    <w:p w14:paraId="10000081" w14:textId="10000082" w:rsidR="00A17E3C" w:rsidRDefault="00A17E3C">
      <w:r>
        <w:t>追加質問の高額フラグ期待値には、実行前から</w:t>
      </w:r>
      <w:r>
        <w:t>57,000</w:t>
      </w:r>
      <w:r>
        <w:t>円・同額除外と元</w:t>
      </w:r>
      <w:r>
        <w:t>Notebook</w:t>
      </w:r>
      <w:r>
        <w:t>の</w:t>
      </w:r>
      <w:r>
        <w:t>hash</w:t>
      </w:r>
      <w:r>
        <w:t>が固定されていましたが、</w:t>
      </w:r>
      <w:r>
        <w:t>1</w:t>
      </w:r>
      <w:r>
        <w:t>つの補足</w:t>
      </w:r>
      <w:r>
        <w:t>provenance</w:t>
      </w:r>
      <w:r>
        <w:t>参照名が欠けていました。実行後に同じ</w:t>
      </w:r>
      <w:r>
        <w:t>source hash</w:t>
      </w:r>
      <w:r>
        <w:t>へのリンクだけを追記し、質問・期待値・基準・実回答・</w:t>
      </w:r>
      <w:r>
        <w:t>FAIL</w:t>
      </w:r>
      <w:r>
        <w:t>判定は変更していません。この補足は事前登録済みとは扱いません。</w:t>
      </w:r>
    </w:p>
    <w:p w14:paraId="10000083" w14:textId="10000084" w:rsidR="00A17E3C" w:rsidRDefault="00A17E3C">
      <w:r>
        <w:t>元の</w:t>
      </w:r>
      <w:r>
        <w:t>3.0.0</w:t>
      </w:r>
      <w:r>
        <w:t>と</w:t>
      </w:r>
      <w:r>
        <w:t>2026-10-02</w:t>
      </w:r>
      <w:r>
        <w:t>の</w:t>
      </w:r>
      <w:r>
        <w:t>release tag</w:t>
      </w:r>
      <w:r>
        <w:t>、</w:t>
      </w:r>
      <w:r>
        <w:t>Word/HTML</w:t>
      </w:r>
      <w:r>
        <w:t>、元</w:t>
      </w:r>
      <w:r>
        <w:t>100</w:t>
      </w:r>
      <w:r>
        <w:t>枠の</w:t>
      </w:r>
      <w:r>
        <w:t>33 PASS/57 FAIL/10 UNKNOWN</w:t>
      </w:r>
      <w:r>
        <w:t>を保持しています。今回の教材は別日付の追補です。</w:t>
      </w:r>
      <w:r>
        <w:t>UI</w:t>
      </w:r>
      <w:r>
        <w:t>の例検証と実</w:t>
      </w:r>
      <w:r>
        <w:t>SQL</w:t>
      </w:r>
      <w:r>
        <w:t>検証の成功を、</w:t>
      </w:r>
      <w:r>
        <w:t>Data Agent</w:t>
      </w:r>
      <w:r>
        <w:t>の回答</w:t>
      </w:r>
      <w:r>
        <w:t>PASS</w:t>
      </w:r>
      <w:r>
        <w:t>へ加算していません。</w:t>
      </w:r>
    </w:p>
    <w:p w14:paraId="10000085" w14:textId="10000086" w:rsidR="00A17E3C" w:rsidRDefault="00A17E3C">
      <w:r>
        <w:t>The final expanded32-slot result is29 PASS/2 FAIL/1 UNKNOWN. An explicit UTC request was interpreted as a JST day, and a Gold-measure explanation confused StaticSeed with the static-SQL value StaticSyntheticSnapshot. The three issues found in the initial12-question check were repaired on this configuration, but these new regressions remain; zero-failure acceptance is not claimed.</w:t>
      </w:r>
    </w:p>
    <w:p w14:paraId="10000087" w14:textId="10000088" w:rsidR="00A17E3C" w:rsidRDefault="00A17E3C">
      <w:r>
        <w:lastRenderedPageBreak/>
        <w:t>The expanded run first stopped after11business replies: one HTTP500 question has an uncertain outcome, followed by a definition-read timeout before the next question. A disclosed post-stop amendment continued only the20original never-submitted slots after a successful read-only configuration audit and captured20business replies. It never replayed the uncertain question or changed the original stop records; this continuation was not preregistered. All31business replies were reviewed and the unresolved slot r</w:t>
      </w:r>
      <w:r>
        <w:t>emains UNKNOWN.</w:t>
      </w:r>
    </w:p>
    <w:p w14:paraId="10000089" w14:textId="1000008A" w:rsidR="00A17E3C" w:rsidRDefault="00A17E3C">
      <w:r>
        <w:t>These are bounded measured cohorts, not a guarantee for arbitrary future questions, a replacement of the frozen100-case study, product GA or main-Agent promotion.</w:t>
      </w:r>
    </w:p>
    <w:p w14:paraId="1000008B" w14:textId="1000008C" w:rsidR="00A17E3C" w:rsidRDefault="00A17E3C">
      <w:r>
        <w:t>A missing supplemental high-value provenance pointer was linked after capture to the already frozen source hash and unchanged strict-threshold facts. The original failed reply, criteria and verdict remain intact; no independent preregistration claim is made.</w:t>
      </w:r>
    </w:p>
    <w:p w14:paraId="1000008D" w14:textId="1000008E" w:rsidR="00A17E3C" w:rsidRDefault="00A17E3C">
      <w:pPr>
        <w:pStyle w:val="Heading1"/>
        <w:pBdr>
          <w:bottom w:val="single" w:sz="6" w:space="0" w:color="D0D7DE"/>
        </w:pBdr>
        <w:spacing w:before="520" w:after="120"/>
      </w:pPr>
      <w:r>
        <w:t>証拠と採用境界</w:t>
      </w:r>
      <w:r>
        <w:t xml:space="preserve"> / Evidence and adoption boundary</w:t>
      </w:r>
    </w:p>
    <w:p w14:paraId="1000008F" w14:textId="10000090" w:rsidR="00A17E3C" w:rsidRDefault="00A17E3C">
      <w:r>
        <w:t>主</w:t>
      </w:r>
      <w:r>
        <w:t>Agent</w:t>
      </w:r>
      <w:r>
        <w:t>へは昇格していません。元</w:t>
      </w:r>
      <w:r>
        <w:t>3.0.0</w:t>
      </w:r>
      <w:r>
        <w:t>と</w:t>
      </w:r>
      <w:r>
        <w:t>2026-10-02</w:t>
      </w:r>
      <w:r>
        <w:t>の</w:t>
      </w:r>
      <w:r>
        <w:t>Word</w:t>
      </w:r>
      <w:r>
        <w:t>・</w:t>
      </w:r>
      <w:r>
        <w:t>HTML</w:t>
      </w:r>
      <w:r>
        <w:t>、</w:t>
      </w:r>
      <w:r>
        <w:t>100</w:t>
      </w:r>
      <w:r>
        <w:t>問評価、</w:t>
      </w:r>
      <w:r>
        <w:t>release tag</w:t>
      </w:r>
      <w:r>
        <w:t>は変更していません。本資料は別日付の追補です。</w:t>
      </w:r>
    </w:p>
    <w:p w14:paraId="10000091" w14:textId="10000092" w:rsidR="00A17E3C" w:rsidRDefault="00A17E3C">
      <w:r>
        <w:t>判定は固定期待値と実回答を照合した</w:t>
      </w:r>
      <w:r>
        <w:t>AI</w:t>
      </w:r>
      <w:r>
        <w:t>補助審査です。独立した人間の</w:t>
      </w:r>
      <w:r>
        <w:t>sign-off</w:t>
      </w:r>
      <w:r>
        <w:t>ではありません。内部</w:t>
      </w:r>
      <w:r>
        <w:t>SQL/KQL/GQL/DAX</w:t>
      </w:r>
      <w:r>
        <w:t>と</w:t>
      </w:r>
      <w:r>
        <w:t>backend</w:t>
      </w:r>
      <w:r>
        <w:t>会話</w:t>
      </w:r>
      <w:r>
        <w:t>ID</w:t>
      </w:r>
      <w:r>
        <w:t>は</w:t>
      </w:r>
      <w:r>
        <w:t>UNOBSERVABLE</w:t>
      </w:r>
      <w:r>
        <w:t>です。</w:t>
      </w:r>
    </w:p>
    <w:p w14:paraId="10000093" w14:textId="10000094" w:rsidR="00A17E3C" w:rsidRDefault="00A17E3C">
      <w:r>
        <w:t>元</w:t>
      </w:r>
      <w:r>
        <w:t>100</w:t>
      </w:r>
      <w:r>
        <w:t>問の</w:t>
      </w:r>
      <w:r>
        <w:t>33 PASS /57 FAIL /10 UNKNOWN</w:t>
      </w:r>
      <w:r>
        <w:t>を本資料の小さい分母で置き換えていません。構成テストや例の検証成功を</w:t>
      </w:r>
      <w:r>
        <w:t>AI</w:t>
      </w:r>
      <w:r>
        <w:t>回答の</w:t>
      </w:r>
      <w:r>
        <w:t>PASS</w:t>
      </w:r>
      <w:r>
        <w:t>へ加算しません。</w:t>
      </w:r>
    </w:p>
    <w:p w14:paraId="10000095" w14:textId="10000096" w:rsidR="00A17E3C" w:rsidRDefault="00A17E3C">
      <w:r>
        <w:t>The main Agent, original studies and existing releases are preserved. No general-population accuracy, native execution-trace proof, product GA or independent human acceptance is claimed.</w:t>
      </w:r>
    </w:p>
    <w:p w14:paraId="10000097" w14:textId="10000098" w:rsidR="00A17E3C" w:rsidRDefault="00A17E3C">
      <w:r>
        <w:rPr>
          <w:sz w:val="16"/>
        </w:rPr>
        <w:t>Source study SHA-256: a3cdc657829f38afcbac47c038735c16d1e574ec6b9f584fccd000a23fac1b5a</w:t>
      </w:r>
    </w:p>
    <w:sectPr w:rsidR="00A17E3C">
      <w:headerReference w:type="default" r:id="rId7"/>
      <w:footerReference w:type="default" r:id="rId8"/>
      <w:headerReference w:type="first" r:id="rId9"/>
      <w:footerReference w:type="first" r:id="rId10"/>
      <w:pgSz w:w="11906" w:h="16838"/>
      <w:pgMar w:top="1134"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99" w14:textId="1000009A" w:rsidR="00A17E3C" w:rsidRDefault="00A17E3C">
      <w:pPr>
        <w:spacing w:after="0" w:line="240" w:lineRule="auto"/>
      </w:pPr>
      <w:r>
        <w:separator/>
      </w:r>
    </w:p>
  </w:endnote>
  <w:endnote w:type="continuationSeparator" w:id="0">
    <w:p w14:paraId="1000009B" w14:textId="1000009C"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9D" w14:textId="1000009E"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9F" w14:textId="100000A0"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A1" w14:textId="100000A2" w:rsidR="00A17E3C" w:rsidRDefault="00A17E3C">
      <w:pPr>
        <w:spacing w:after="0" w:line="240" w:lineRule="auto"/>
      </w:pPr>
      <w:r>
        <w:separator/>
      </w:r>
    </w:p>
  </w:footnote>
  <w:footnote w:type="continuationSeparator" w:id="0">
    <w:p w14:paraId="100000A3" w14:textId="100000A4"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A5" w14:textId="100000A6"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00A7" wp14:editId="100000A8">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A9" w14:textId="100000AA"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style>
  <w:style w:type="paragraph" w:styleId="TOC2">
    <w:name w:val="toc 2"/>
    <w:basedOn w:val="Normal"/>
    <w:next w:val="Normal"/>
    <w:autoRedefine/>
    <w:uiPriority w:val="39"/>
    <w:unhideWhenUsed/>
    <w:rsid w:val="00C1066F"/>
    <w:pPr>
      <w:ind w:left="210"/>
    </w:p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2597</Words>
  <Characters>5360</Characters>
  <Application>Microsoft Office Word</Application>
  <DocSecurity>0</DocSecurity>
  <Lines>123</Lines>
  <Paragraphs>69</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Furusato Fabric Workshop</dc:creator>
  <cp:keywords/>
  <dc:description/>
  <cp:lastModifiedBy>Furusato Fabric Workshop</cp:lastModifiedBy>
  <cp:revision>2</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