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00001" w14:textId="10000002" w:rsidR="00A17E3C" w:rsidRDefault="00A17E3C">
      <w:pPr>
        <w:pStyle w:val="Title"/>
      </w:pPr>
      <w:r>
        <w:rPr>
          <w:b w:val="0"/>
        </w:rPr>
        <w:t>Furusato Data Agent tuning</w:t>
      </w:r>
    </w:p>
    <w:p w14:paraId="10000003" w14:textId="10000004" w:rsidR="00A17E3C" w:rsidRDefault="00A17E3C">
      <w:r>
        <w:t xml:space="preserve">2026-10-04 — 3.0.0 </w:t>
      </w:r>
      <w:r>
        <w:t>別日付追補</w:t>
      </w:r>
      <w:r>
        <w:t xml:space="preserve"> / Separately dated addendum</w:t>
      </w:r>
    </w:p>
    <w:p w14:paraId="10000005" w14:textId="10000006" w:rsidR="00A17E3C" w:rsidRDefault="00A17E3C">
      <w:pPr>
        <w:pStyle w:val="Heading1"/>
        <w:pBdr>
          <w:bottom w:val="single" w:sz="6" w:space="0" w:color="D0D7DE"/>
        </w:pBdr>
        <w:spacing w:before="520" w:after="120"/>
      </w:pPr>
      <w:r>
        <w:t>評価結果</w:t>
      </w:r>
      <w:r>
        <w:t xml:space="preserve"> / Measured results</w:t>
      </w:r>
    </w:p>
    <w:p w14:paraId="10000007" w14:textId="10000008" w:rsidR="00A17E3C" w:rsidRDefault="00A17E3C">
      <w:r>
        <w:t>最新の既知開発セットは全問</w:t>
      </w:r>
      <w:r>
        <w:t>PASS</w:t>
      </w:r>
      <w:r>
        <w:t>です。未使用セットの初回結果と区別して評価します。</w:t>
      </w:r>
    </w:p>
    <w:p w14:paraId="10000009" w14:textId="1000000A" w:rsidR="00A17E3C" w:rsidRDefault="00A17E3C">
      <w:r>
        <w:t>前回の</w:t>
      </w:r>
      <w:r>
        <w:t>UTC/JST</w:t>
      </w:r>
      <w:r>
        <w:t>・</w:t>
      </w:r>
      <w:r>
        <w:t>Gold/</w:t>
      </w:r>
      <w:r>
        <w:t>静的</w:t>
      </w:r>
      <w:r>
        <w:t>SQL</w:t>
      </w:r>
      <w:r>
        <w:t>混同の失敗</w:t>
      </w:r>
      <w:r>
        <w:t>2</w:t>
      </w:r>
      <w:r>
        <w:t>問と、明示的な</w:t>
      </w:r>
      <w:r>
        <w:t>JST</w:t>
      </w:r>
      <w:r>
        <w:t>日付、逆側のモデルフィルター、静的</w:t>
      </w:r>
      <w:r>
        <w:t>SQL</w:t>
      </w:r>
      <w:r>
        <w:t>の支払い方法、前年同期間、高額フラグなど</w:t>
      </w:r>
      <w:r>
        <w:t>8</w:t>
      </w:r>
      <w:r>
        <w:t>対照問の計</w:t>
      </w:r>
      <w:r>
        <w:t>10</w:t>
      </w:r>
      <w:r>
        <w:t>問です。質問・期待値・必須条件は前回から不変です。</w:t>
      </w:r>
      <w:r>
        <w:t>32</w:t>
      </w:r>
      <w:r>
        <w:t>問全体の再評価や新しい独立未使用セットではありません。</w:t>
      </w:r>
    </w:p>
    <w:p w14:paraId="1000000B" w14:textId="1000000C" w:rsidR="00A17E3C" w:rsidRDefault="00A17E3C">
      <w:r>
        <w:t>P / F / U = PASS / FAIL / UNKNOWN</w:t>
      </w:r>
      <w:r>
        <w:t>。表の値は各構成の全回答であり、異なるラウンドの正答を選び集めていません。</w:t>
      </w:r>
    </w:p>
    <w:tbl>
      <w:tblPr>
        <w:tblStyle w:val="TableGrid"/>
        <w:tblW w:w="0" w:type="auto"/>
        <w:jc w:val="center"/>
        <w:tblLayout w:type="fixed"/>
        <w:tblLook w:val="04A0" w:firstRow="1" w:lastRow="0" w:firstColumn="1" w:lastColumn="0" w:noHBand="0" w:noVBand="1"/>
        <w:tblCaption w:val="表 1"/>
        <w:tblDescription w:val="評価結果 / Measured results"/>
      </w:tblPr>
      <w:tblGrid>
        <w:gridCol w:w="4424"/>
        <w:gridCol w:w="790"/>
        <w:gridCol w:w="2212"/>
        <w:gridCol w:w="2212"/>
      </w:tblGrid>
      <w:tr w:rsidR="00A17E3C" w14:paraId="1000000D" w14:textId="1000000E">
        <w:trPr>
          <w:cantSplit/>
          <w:tblHeader/>
          <w:jc w:val="center"/>
        </w:trPr>
        <w:tc>
          <w:tcPr>
            <w:tcW w:w="4424" w:type="dxa"/>
            <w:shd w:val="clear" w:color="auto" w:fill="174C88"/>
          </w:tcPr>
          <w:p w14:paraId="1000000F" w14:textId="10000010" w:rsidR="00A17E3C" w:rsidRDefault="00A17E3C">
            <w:pPr>
              <w:spacing w:before="20" w:after="20"/>
            </w:pPr>
            <w:r>
              <w:rPr>
                <w:b/>
                <w:color w:val="FFFFFF"/>
                <w:sz w:val="18"/>
              </w:rPr>
              <w:t>構成</w:t>
            </w:r>
            <w:r>
              <w:rPr>
                <w:b/>
                <w:color w:val="FFFFFF"/>
                <w:sz w:val="18"/>
              </w:rPr>
              <w:t xml:space="preserve"> / Configuration</w:t>
            </w:r>
          </w:p>
        </w:tc>
        <w:tc>
          <w:tcPr>
            <w:tcW w:w="790" w:type="dxa"/>
            <w:shd w:val="clear" w:color="auto" w:fill="174C88"/>
          </w:tcPr>
          <w:p w14:paraId="10000011" w14:textId="10000012" w:rsidR="00A17E3C" w:rsidRDefault="00A17E3C">
            <w:pPr>
              <w:spacing w:before="20" w:after="20"/>
            </w:pPr>
            <w:r>
              <w:rPr>
                <w:b/>
                <w:color w:val="FFFFFF"/>
                <w:sz w:val="18"/>
              </w:rPr>
              <w:t>問数</w:t>
            </w:r>
          </w:p>
        </w:tc>
        <w:tc>
          <w:tcPr>
            <w:tcW w:w="2212" w:type="dxa"/>
            <w:shd w:val="clear" w:color="auto" w:fill="174C88"/>
          </w:tcPr>
          <w:p w14:paraId="10000013" w14:textId="10000014" w:rsidR="00A17E3C" w:rsidRDefault="00A17E3C">
            <w:pPr>
              <w:spacing w:before="20" w:after="20"/>
            </w:pPr>
            <w:r>
              <w:rPr>
                <w:b/>
                <w:color w:val="FFFFFF"/>
                <w:sz w:val="18"/>
              </w:rPr>
              <w:t>事実</w:t>
            </w:r>
            <w:r>
              <w:rPr>
                <w:b/>
                <w:color w:val="FFFFFF"/>
                <w:sz w:val="18"/>
              </w:rPr>
              <w:t xml:space="preserve"> P / F / U</w:t>
            </w:r>
          </w:p>
        </w:tc>
        <w:tc>
          <w:tcPr>
            <w:tcW w:w="2212" w:type="dxa"/>
            <w:shd w:val="clear" w:color="auto" w:fill="174C88"/>
          </w:tcPr>
          <w:p w14:paraId="10000015" w14:textId="10000016" w:rsidR="00A17E3C" w:rsidRDefault="00A17E3C">
            <w:pPr>
              <w:spacing w:before="20" w:after="20"/>
            </w:pPr>
            <w:r>
              <w:rPr>
                <w:b/>
                <w:color w:val="FFFFFF"/>
                <w:sz w:val="18"/>
              </w:rPr>
              <w:t>内容</w:t>
            </w:r>
            <w:r>
              <w:rPr>
                <w:b/>
                <w:color w:val="FFFFFF"/>
                <w:sz w:val="18"/>
              </w:rPr>
              <w:t xml:space="preserve"> P / F / U</w:t>
            </w:r>
          </w:p>
        </w:tc>
      </w:tr>
      <w:tr w:rsidR="00A17E3C" w14:paraId="10000017" w14:textId="10000018">
        <w:trPr>
          <w:cantSplit/>
          <w:jc w:val="center"/>
        </w:trPr>
        <w:tc>
          <w:tcPr>
            <w:tcW w:w="4424" w:type="dxa"/>
          </w:tcPr>
          <w:p w14:paraId="10000019" w14:textId="1000001A" w:rsidR="00A17E3C" w:rsidRDefault="00A17E3C">
            <w:pPr>
              <w:spacing w:before="20" w:after="20" w:line="252" w:lineRule="auto"/>
            </w:pPr>
            <w:r>
              <w:rPr>
                <w:sz w:val="18"/>
              </w:rPr>
              <w:t>同じ</w:t>
            </w:r>
            <w:r>
              <w:rPr>
                <w:sz w:val="18"/>
              </w:rPr>
              <w:t>10</w:t>
            </w:r>
            <w:r>
              <w:rPr>
                <w:sz w:val="18"/>
              </w:rPr>
              <w:t>問の前回記録</w:t>
            </w:r>
            <w:r>
              <w:rPr>
                <w:sz w:val="18"/>
              </w:rPr>
              <w:t xml:space="preserve"> / Previous same10</w:t>
            </w:r>
          </w:p>
        </w:tc>
        <w:tc>
          <w:tcPr>
            <w:tcW w:w="790" w:type="dxa"/>
          </w:tcPr>
          <w:p w14:paraId="1000001B" w14:textId="1000001C" w:rsidR="00A17E3C" w:rsidRDefault="00A17E3C">
            <w:pPr>
              <w:spacing w:before="20" w:after="20" w:line="252" w:lineRule="auto"/>
            </w:pPr>
            <w:r>
              <w:rPr>
                <w:sz w:val="18"/>
              </w:rPr>
              <w:t>10</w:t>
            </w:r>
          </w:p>
        </w:tc>
        <w:tc>
          <w:tcPr>
            <w:tcW w:w="2212" w:type="dxa"/>
          </w:tcPr>
          <w:p w14:paraId="1000001D" w14:textId="1000001E" w:rsidR="00A17E3C" w:rsidRDefault="00A17E3C">
            <w:pPr>
              <w:spacing w:before="20" w:after="20" w:line="252" w:lineRule="auto"/>
            </w:pPr>
            <w:r>
              <w:rPr>
                <w:sz w:val="18"/>
              </w:rPr>
              <w:t>8 / 2 / 0</w:t>
            </w:r>
          </w:p>
        </w:tc>
        <w:tc>
          <w:tcPr>
            <w:tcW w:w="2212" w:type="dxa"/>
          </w:tcPr>
          <w:p w14:paraId="1000001F" w14:textId="10000020" w:rsidR="00A17E3C" w:rsidRDefault="00A17E3C">
            <w:pPr>
              <w:spacing w:before="20" w:after="20" w:line="252" w:lineRule="auto"/>
            </w:pPr>
            <w:r>
              <w:rPr>
                <w:sz w:val="18"/>
              </w:rPr>
              <w:t>8 / 2 / 0</w:t>
            </w:r>
          </w:p>
        </w:tc>
      </w:tr>
      <w:tr w:rsidR="00A17E3C" w14:paraId="10000021" w14:textId="10000022">
        <w:trPr>
          <w:cantSplit/>
          <w:jc w:val="center"/>
        </w:trPr>
        <w:tc>
          <w:tcPr>
            <w:tcW w:w="4424" w:type="dxa"/>
            <w:shd w:val="clear" w:color="auto" w:fill="EEF3F9"/>
          </w:tcPr>
          <w:p w14:paraId="10000023" w14:textId="10000024" w:rsidR="00A17E3C" w:rsidRDefault="00A17E3C">
            <w:pPr>
              <w:spacing w:before="20" w:after="20" w:line="252" w:lineRule="auto"/>
            </w:pPr>
            <w:r>
              <w:rPr>
                <w:sz w:val="18"/>
              </w:rPr>
              <w:t>Timezone / source namespace isolation</w:t>
            </w:r>
          </w:p>
        </w:tc>
        <w:tc>
          <w:tcPr>
            <w:tcW w:w="790" w:type="dxa"/>
            <w:shd w:val="clear" w:color="auto" w:fill="EEF3F9"/>
          </w:tcPr>
          <w:p w14:paraId="10000025" w14:textId="10000026" w:rsidR="00A17E3C" w:rsidRDefault="00A17E3C">
            <w:pPr>
              <w:spacing w:before="20" w:after="20" w:line="252" w:lineRule="auto"/>
            </w:pPr>
            <w:r>
              <w:rPr>
                <w:sz w:val="18"/>
              </w:rPr>
              <w:t>10</w:t>
            </w:r>
          </w:p>
        </w:tc>
        <w:tc>
          <w:tcPr>
            <w:tcW w:w="2212" w:type="dxa"/>
            <w:shd w:val="clear" w:color="auto" w:fill="EEF3F9"/>
          </w:tcPr>
          <w:p w14:paraId="10000027" w14:textId="10000028" w:rsidR="00A17E3C" w:rsidRDefault="00A17E3C">
            <w:pPr>
              <w:spacing w:before="20" w:after="20" w:line="252" w:lineRule="auto"/>
            </w:pPr>
            <w:r>
              <w:rPr>
                <w:sz w:val="18"/>
              </w:rPr>
              <w:t>10 / 0 / 0</w:t>
            </w:r>
          </w:p>
        </w:tc>
        <w:tc>
          <w:tcPr>
            <w:tcW w:w="2212" w:type="dxa"/>
            <w:shd w:val="clear" w:color="auto" w:fill="EEF3F9"/>
          </w:tcPr>
          <w:p w14:paraId="10000029" w14:textId="1000002A" w:rsidR="00A17E3C" w:rsidRDefault="00A17E3C">
            <w:pPr>
              <w:spacing w:before="20" w:after="20" w:line="252" w:lineRule="auto"/>
            </w:pPr>
            <w:r>
              <w:rPr>
                <w:sz w:val="18"/>
              </w:rPr>
              <w:t>9 / 1 / 0</w:t>
            </w:r>
          </w:p>
        </w:tc>
      </w:tr>
      <w:tr w:rsidR="00A17E3C" w14:paraId="1000002B" w14:textId="1000002C">
        <w:trPr>
          <w:cantSplit/>
          <w:jc w:val="center"/>
        </w:trPr>
        <w:tc>
          <w:tcPr>
            <w:tcW w:w="4424" w:type="dxa"/>
          </w:tcPr>
          <w:p w14:paraId="1000002D" w14:textId="1000002E" w:rsidR="00A17E3C" w:rsidRDefault="00A17E3C">
            <w:pPr>
              <w:spacing w:before="20" w:after="20" w:line="252" w:lineRule="auto"/>
            </w:pPr>
            <w:r>
              <w:rPr>
                <w:sz w:val="18"/>
              </w:rPr>
              <w:t>Preserve actual observation spans</w:t>
            </w:r>
          </w:p>
        </w:tc>
        <w:tc>
          <w:tcPr>
            <w:tcW w:w="790" w:type="dxa"/>
          </w:tcPr>
          <w:p w14:paraId="1000002F" w14:textId="10000030" w:rsidR="00A17E3C" w:rsidRDefault="00A17E3C">
            <w:pPr>
              <w:spacing w:before="20" w:after="20" w:line="252" w:lineRule="auto"/>
            </w:pPr>
            <w:r>
              <w:rPr>
                <w:sz w:val="18"/>
              </w:rPr>
              <w:t>10</w:t>
            </w:r>
          </w:p>
        </w:tc>
        <w:tc>
          <w:tcPr>
            <w:tcW w:w="2212" w:type="dxa"/>
          </w:tcPr>
          <w:p w14:paraId="10000031" w14:textId="10000032" w:rsidR="00A17E3C" w:rsidRDefault="00A17E3C">
            <w:pPr>
              <w:spacing w:before="20" w:after="20" w:line="252" w:lineRule="auto"/>
            </w:pPr>
            <w:r>
              <w:rPr>
                <w:sz w:val="18"/>
              </w:rPr>
              <w:t>8 / 2 / 0</w:t>
            </w:r>
          </w:p>
        </w:tc>
        <w:tc>
          <w:tcPr>
            <w:tcW w:w="2212" w:type="dxa"/>
          </w:tcPr>
          <w:p w14:paraId="10000033" w14:textId="10000034" w:rsidR="00A17E3C" w:rsidRDefault="00A17E3C">
            <w:pPr>
              <w:spacing w:before="20" w:after="20" w:line="252" w:lineRule="auto"/>
            </w:pPr>
            <w:r>
              <w:rPr>
                <w:sz w:val="18"/>
              </w:rPr>
              <w:t>8 / 2 / 0</w:t>
            </w:r>
          </w:p>
        </w:tc>
      </w:tr>
      <w:tr w:rsidR="00A17E3C" w14:paraId="10000035" w14:textId="10000036">
        <w:trPr>
          <w:cantSplit/>
          <w:jc w:val="center"/>
        </w:trPr>
        <w:tc>
          <w:tcPr>
            <w:tcW w:w="4424" w:type="dxa"/>
            <w:shd w:val="clear" w:color="auto" w:fill="EEF3F9"/>
          </w:tcPr>
          <w:p w14:paraId="10000037" w14:textId="10000038" w:rsidR="00A17E3C" w:rsidRDefault="00A17E3C">
            <w:pPr>
              <w:keepNext/>
              <w:spacing w:before="20" w:after="20" w:line="252" w:lineRule="auto"/>
            </w:pPr>
            <w:r>
              <w:rPr>
                <w:sz w:val="18"/>
              </w:rPr>
              <w:t>Model-result and ranking consistency</w:t>
            </w:r>
          </w:p>
        </w:tc>
        <w:tc>
          <w:tcPr>
            <w:tcW w:w="790" w:type="dxa"/>
            <w:shd w:val="clear" w:color="auto" w:fill="EEF3F9"/>
          </w:tcPr>
          <w:p w14:paraId="10000039" w14:textId="1000003A" w:rsidR="00A17E3C" w:rsidRDefault="00A17E3C">
            <w:pPr>
              <w:keepNext/>
              <w:spacing w:before="20" w:after="20" w:line="252" w:lineRule="auto"/>
            </w:pPr>
            <w:r>
              <w:rPr>
                <w:sz w:val="18"/>
              </w:rPr>
              <w:t>10</w:t>
            </w:r>
          </w:p>
        </w:tc>
        <w:tc>
          <w:tcPr>
            <w:tcW w:w="2212" w:type="dxa"/>
            <w:shd w:val="clear" w:color="auto" w:fill="EEF3F9"/>
          </w:tcPr>
          <w:p w14:paraId="1000003B" w14:textId="1000003C" w:rsidR="00A17E3C" w:rsidRDefault="00A17E3C">
            <w:pPr>
              <w:keepNext/>
              <w:spacing w:before="20" w:after="20" w:line="252" w:lineRule="auto"/>
            </w:pPr>
            <w:r>
              <w:rPr>
                <w:sz w:val="18"/>
              </w:rPr>
              <w:t>10 / 0 / 0</w:t>
            </w:r>
          </w:p>
        </w:tc>
        <w:tc>
          <w:tcPr>
            <w:tcW w:w="2212" w:type="dxa"/>
            <w:shd w:val="clear" w:color="auto" w:fill="EEF3F9"/>
          </w:tcPr>
          <w:p w14:paraId="1000003D" w14:textId="1000003E" w:rsidR="00A17E3C" w:rsidRDefault="00A17E3C">
            <w:pPr>
              <w:keepNext/>
              <w:spacing w:before="20" w:after="20" w:line="252" w:lineRule="auto"/>
            </w:pPr>
            <w:r>
              <w:rPr>
                <w:sz w:val="18"/>
              </w:rPr>
              <w:t>10 / 0 / 0</w:t>
            </w:r>
          </w:p>
        </w:tc>
      </w:tr>
    </w:tbl>
    <w:p w14:paraId="1000003F" w14:textId="10000040" w:rsidR="00A17E3C" w:rsidRDefault="00A17E3C">
      <w:pPr>
        <w:pStyle w:val="Caption"/>
        <w:spacing w:before="40" w:after="200"/>
      </w:pPr>
      <w:r>
        <w:rPr>
          <w:sz w:val="17"/>
        </w:rPr>
        <w:t>表</w:t>
      </w:r>
      <w:r>
        <w:rPr>
          <w:sz w:val="17"/>
        </w:rPr>
        <w:t xml:space="preserve"> 1</w:t>
      </w:r>
      <w:r>
        <w:rPr>
          <w:sz w:val="17"/>
        </w:rPr>
        <w:t xml:space="preserve">　評価結果</w:t>
      </w:r>
      <w:r>
        <w:rPr>
          <w:sz w:val="17"/>
        </w:rPr>
        <w:t xml:space="preserve"> / Measured results</w:t>
      </w:r>
    </w:p>
    <w:p w14:paraId="10000041" w14:textId="10000042" w:rsidR="00A17E3C" w:rsidRDefault="00A17E3C">
      <w:pPr>
        <w:pStyle w:val="Heading1"/>
        <w:pBdr>
          <w:bottom w:val="single" w:sz="6" w:space="0" w:color="D0D7DE"/>
        </w:pBdr>
        <w:spacing w:before="520" w:after="120"/>
      </w:pPr>
      <w:r>
        <w:t>未使用セット</w:t>
      </w:r>
      <w:r>
        <w:t xml:space="preserve"> / Previously unused questions</w:t>
      </w:r>
    </w:p>
    <w:p w14:paraId="10000043" w14:textId="10000044" w:rsidR="00A17E3C" w:rsidRDefault="00A17E3C">
      <w:r>
        <w:t>未使用セットは未実施です。開発セットの結果だけでは未知の質問への品質を主張しません。</w:t>
      </w:r>
    </w:p>
    <w:p w14:paraId="10000045" w14:textId="10000046" w:rsidR="00A17E3C" w:rsidRDefault="00A17E3C">
      <w:r>
        <w:t>未使用セットを改善へ流用した結果を、独立した再検証とは呼びません。</w:t>
      </w:r>
    </w:p>
    <w:p w14:paraId="10000047" w14:textId="10000048" w:rsidR="00A17E3C" w:rsidRDefault="00A17E3C">
      <w:r>
        <w:t>Previously unused questions are separate from the known development cohort. These measured results do not guarantee correctness for arbitrary future questions.</w:t>
      </w:r>
    </w:p>
    <w:p w14:paraId="10000049" w14:textId="1000004A" w:rsidR="00A17E3C" w:rsidRDefault="00A17E3C">
      <w:pPr>
        <w:pStyle w:val="Heading1"/>
        <w:pBdr>
          <w:bottom w:val="single" w:sz="6" w:space="0" w:color="D0D7DE"/>
        </w:pBdr>
        <w:spacing w:before="520" w:after="120"/>
      </w:pPr>
      <w:r>
        <w:t>実装した改善</w:t>
      </w:r>
      <w:r>
        <w:t xml:space="preserve"> / Implemented changes</w:t>
      </w:r>
    </w:p>
    <w:p w14:paraId="1000004B" w14:textId="1000004C" w:rsidR="00A17E3C" w:rsidRDefault="00A17E3C">
      <w:r>
        <w:t>FilterTimezone(</w:t>
      </w:r>
      <w:r>
        <w:t>対象日を絞る基準</w:t>
      </w:r>
      <w:r>
        <w:t>)</w:t>
      </w:r>
      <w:r>
        <w:t>と</w:t>
      </w:r>
      <w:r>
        <w:t>DisplayTimezone(</w:t>
      </w:r>
      <w:r>
        <w:t>表示時刻</w:t>
      </w:r>
      <w:r>
        <w:t>)</w:t>
      </w:r>
      <w:r>
        <w:t>を分け、明示された</w:t>
      </w:r>
      <w:r>
        <w:t>UTC</w:t>
      </w:r>
      <w:r>
        <w:t>日付を日本語やモデルの</w:t>
      </w:r>
      <w:r>
        <w:t>JST</w:t>
      </w:r>
      <w:r>
        <w:t>規則から変換しない契約を追加しました。明示的な</w:t>
      </w:r>
      <w:r>
        <w:t>JST</w:t>
      </w:r>
      <w:r>
        <w:t>対象日を</w:t>
      </w:r>
      <w:r>
        <w:t>UTC</w:t>
      </w:r>
      <w:r>
        <w:t>表示する場合は別の分岐として維持します。</w:t>
      </w:r>
    </w:p>
    <w:p w14:paraId="1000004D" w14:textId="1000004E" w:rsidR="00A17E3C" w:rsidRDefault="00A17E3C">
      <w:r>
        <w:lastRenderedPageBreak/>
        <w:t>同じ</w:t>
      </w:r>
      <w:r>
        <w:t>calendar date</w:t>
      </w:r>
      <w:r>
        <w:t>の</w:t>
      </w:r>
      <w:r>
        <w:t>UTC/JST</w:t>
      </w:r>
      <w:r>
        <w:t>例を用意し、</w:t>
      </w:r>
      <w:r>
        <w:t>UTC</w:t>
      </w:r>
      <w:r>
        <w:t>の半開区間、</w:t>
      </w:r>
      <w:r>
        <w:t>FilterTimezone</w:t>
      </w:r>
      <w:r>
        <w:t>、</w:t>
      </w:r>
      <w:r>
        <w:t>DisplayTimezone</w:t>
      </w:r>
      <w:r>
        <w:t>を</w:t>
      </w:r>
      <w:r>
        <w:t>KQL</w:t>
      </w:r>
      <w:r>
        <w:t>結果へ付与しました。直接照会で両例の全</w:t>
      </w:r>
      <w:r>
        <w:t>24</w:t>
      </w:r>
      <w:r>
        <w:t>時間と異なる正しい</w:t>
      </w:r>
      <w:r>
        <w:t>UTC</w:t>
      </w:r>
      <w:r>
        <w:t>境界を確認し、ネイティブ画面の例検証も確認しました。実際の回答でどの例を参照したかは観測不能です。</w:t>
      </w:r>
    </w:p>
    <w:p w14:paraId="1000004F" w14:textId="10000050" w:rsidR="00A17E3C" w:rsidRDefault="00A17E3C">
      <w:r>
        <w:t>業務質問に不要な静的</w:t>
      </w:r>
      <w:r>
        <w:t>SQL</w:t>
      </w:r>
      <w:r>
        <w:t>の固定由来タグ列</w:t>
      </w:r>
      <w:r>
        <w:t>dbo.agent_donation_detail.DonationDataLayer</w:t>
      </w:r>
      <w:r>
        <w:t>だけを比較用</w:t>
      </w:r>
      <w:r>
        <w:t>Agent</w:t>
      </w:r>
      <w:r>
        <w:t>の選択から外し、その値を全体・</w:t>
      </w:r>
      <w:r>
        <w:t>SQL</w:t>
      </w:r>
      <w:r>
        <w:t>・</w:t>
      </w:r>
      <w:r>
        <w:t>Ontology</w:t>
      </w:r>
      <w:r>
        <w:t>指示と列説明から除去しました。物理列・データは変更していません。</w:t>
      </w:r>
      <w:r>
        <w:t>Gold</w:t>
      </w:r>
      <w:r>
        <w:t>の値は</w:t>
      </w:r>
      <w:r>
        <w:t>'</w:t>
      </w:r>
      <w:r>
        <w:t>寄附</w:t>
      </w:r>
      <w:r>
        <w:t>'[</w:t>
      </w:r>
      <w:r>
        <w:t>データソース</w:t>
      </w:r>
      <w:r>
        <w:t>]</w:t>
      </w:r>
      <w:r>
        <w:t>の</w:t>
      </w:r>
      <w:r>
        <w:t>StaticSeed/RealtimeIncrement</w:t>
      </w:r>
      <w:r>
        <w:t>に限定し、実際の既存メジャー定義で説明します。</w:t>
      </w:r>
    </w:p>
    <w:p w14:paraId="10000051" w14:textId="10000052" w:rsidR="00A17E3C" w:rsidRDefault="00A17E3C">
      <w:r>
        <w:t>最初の構成では対象</w:t>
      </w:r>
      <w:r>
        <w:t>2</w:t>
      </w:r>
      <w:r>
        <w:t>問は改善しましたが、</w:t>
      </w:r>
      <w:r>
        <w:t>JST</w:t>
      </w:r>
      <w:r>
        <w:t>対照問で検索境界だけを表示し、実際の観測開始・終了を省く退行が見つかりました。検索区間</w:t>
      </w:r>
      <w:r>
        <w:t>WindowStart/End</w:t>
      </w:r>
      <w:r>
        <w:t>と実データの</w:t>
      </w:r>
      <w:r>
        <w:t>First/LastObservedAt</w:t>
      </w:r>
      <w:r>
        <w:t>は別の値として、両方が必要な質問では別々に取得・表示する指示を追加しました。初回の</w:t>
      </w:r>
      <w:r>
        <w:t>9 PASS/1 FAIL</w:t>
      </w:r>
      <w:r>
        <w:t>は保持しています。</w:t>
      </w:r>
    </w:p>
    <w:p w14:paraId="10000053" w14:textId="10000054" w:rsidR="00A17E3C" w:rsidRDefault="00A17E3C">
      <w:r>
        <w:t>次の構成では観測期間の省略は直りましたが、正しいメジャー定義と矛盾した結論、および同じ自治体を居住県別の複数順位へ分ける回答が発生しました。その</w:t>
      </w:r>
      <w:r>
        <w:t>8 PASS/2 FAIL</w:t>
      </w:r>
      <w:r>
        <w:t>も保持し、モデルの実戻り値を先に取得して説明と一致させる契約、受入自治体を</w:t>
      </w:r>
      <w:r>
        <w:t>1ID1</w:t>
      </w:r>
      <w:r>
        <w:t>行で順位付けする契約を追加しました。実メジャーやデータを変えたものではありません。</w:t>
      </w:r>
    </w:p>
    <w:p w14:paraId="10000055" w14:textId="10000056" w:rsidR="00A17E3C" w:rsidRDefault="00A17E3C">
      <w:r>
        <w:t>ソース</w:t>
      </w:r>
      <w:r>
        <w:t>ID</w:t>
      </w:r>
      <w:r>
        <w:t>、既存業務列、実データ、</w:t>
      </w:r>
      <w:r>
        <w:t>Eventhouse</w:t>
      </w:r>
      <w:r>
        <w:t>オブジェクト、モデルメジャー、</w:t>
      </w:r>
      <w:r>
        <w:t>runtime</w:t>
      </w:r>
      <w:r>
        <w:t>設定、主</w:t>
      </w:r>
      <w:r>
        <w:t>Agent</w:t>
      </w:r>
      <w:r>
        <w:t>と前の比較候補は保持しています。最終例は</w:t>
      </w:r>
      <w:r>
        <w:t>SQL15</w:t>
      </w:r>
      <w:r>
        <w:t>件・</w:t>
      </w:r>
      <w:r>
        <w:t>KQL6</w:t>
      </w:r>
      <w:r>
        <w:t>件です。</w:t>
      </w:r>
    </w:p>
    <w:p w14:paraId="10000057" w14:textId="10000058" w:rsidR="00A17E3C" w:rsidRDefault="00A17E3C">
      <w:r>
        <w:t>Filter timezone and display timezone are separate. Explicit UTC is not shifted because the question is Japanese; an explicitly JST target date may still request UTC output.</w:t>
      </w:r>
    </w:p>
    <w:p w14:paraId="10000059" w14:textId="1000005A" w:rsidR="00A17E3C" w:rsidRDefault="00A17E3C">
      <w:r>
        <w:t>One unused constant SQL provenance column is deselected only in the isolated Agent, and its literal is removed from Draft prompt context. The physical source and source-owned model measures remain unchanged.</w:t>
      </w:r>
    </w:p>
    <w:p w14:paraId="1000005B" w14:textId="1000005C" w:rsidR="00A17E3C" w:rsidRDefault="00A17E3C">
      <w:pPr>
        <w:pStyle w:val="Heading1"/>
        <w:pBdr>
          <w:bottom w:val="single" w:sz="6" w:space="0" w:color="D0D7DE"/>
        </w:pBdr>
        <w:spacing w:before="520" w:after="120"/>
      </w:pPr>
      <w:r>
        <w:t>適用と確認</w:t>
      </w:r>
      <w:r>
        <w:t xml:space="preserve"> / Apply and verify</w:t>
      </w:r>
    </w:p>
    <w:p w14:paraId="1000005D" w14:textId="1000005E" w:rsidR="00A17E3C" w:rsidRDefault="00A17E3C">
      <w:r>
        <w:t>比較用</w:t>
      </w:r>
      <w:r>
        <w:t>Agent</w:t>
      </w:r>
      <w:r>
        <w:t>を使い、既存の主</w:t>
      </w:r>
      <w:r>
        <w:t>Agent</w:t>
      </w:r>
      <w:r>
        <w:t>と履歴を保持します。データ取得先・関係スキーマ・最終回答列を分けて設定します。</w:t>
      </w:r>
    </w:p>
    <w:p w14:paraId="1000005F" w14:textId="10000060" w:rsidR="00A17E3C" w:rsidRDefault="00A17E3C">
      <w:r>
        <w:t>SQL/KQL</w:t>
      </w:r>
      <w:r>
        <w:t>例は実ソースで確認した後、</w:t>
      </w:r>
      <w:r>
        <w:t xml:space="preserve">Setup &gt; </w:t>
      </w:r>
      <w:r>
        <w:t>各データソース</w:t>
      </w:r>
      <w:r>
        <w:t xml:space="preserve"> &gt; Example queries </w:t>
      </w:r>
      <w:r>
        <w:t>でエラーと検証待ちがないことを確認します。直接</w:t>
      </w:r>
      <w:r>
        <w:t>SQL</w:t>
      </w:r>
      <w:r>
        <w:t>が成功しただけでは</w:t>
      </w:r>
      <w:r>
        <w:t>Agent</w:t>
      </w:r>
      <w:r>
        <w:t>内の例の参照を証明しません。</w:t>
      </w:r>
    </w:p>
    <w:p w14:paraId="10000061" w14:textId="10000062" w:rsidR="00A17E3C" w:rsidRDefault="00A17E3C">
      <w:r>
        <w:t>設定の前後と公開後に定義を読み戻します。質問・期待値・必須条件を固定し、構成ごとに各問</w:t>
      </w:r>
      <w:r>
        <w:t>1</w:t>
      </w:r>
      <w:r>
        <w:t>回だけ送信します。通信エラー、不明、未送信を分母から除外しません。</w:t>
      </w:r>
    </w:p>
    <w:p w14:paraId="10000063" w14:textId="10000064" w:rsidR="00A17E3C" w:rsidRDefault="00A17E3C">
      <w:r>
        <w:lastRenderedPageBreak/>
        <w:t>一覧はソース側の全件数と表示</w:t>
      </w:r>
      <w:r>
        <w:t>ID</w:t>
      </w:r>
      <w:r>
        <w:t>集合を照合し、ランキングは安定</w:t>
      </w:r>
      <w:r>
        <w:t>ID</w:t>
      </w:r>
      <w:r>
        <w:t>で順序を確定します。暦年と</w:t>
      </w:r>
      <w:r>
        <w:t>snapshot</w:t>
      </w:r>
      <w:r>
        <w:t>名、観測時刻と合成配信メタデータ、</w:t>
      </w:r>
      <w:r>
        <w:t>BLANK</w:t>
      </w:r>
      <w:r>
        <w:t>と</w:t>
      </w:r>
      <w:r>
        <w:t>0</w:t>
      </w:r>
      <w:r>
        <w:t>を区別します。</w:t>
      </w:r>
    </w:p>
    <w:p w14:paraId="10000065" w14:textId="10000066" w:rsidR="00A17E3C" w:rsidRDefault="00A17E3C">
      <w:pPr>
        <w:pStyle w:val="Heading1"/>
        <w:pBdr>
          <w:bottom w:val="single" w:sz="6" w:space="0" w:color="D0D7DE"/>
        </w:pBdr>
        <w:spacing w:before="520" w:after="120"/>
      </w:pPr>
      <w:r>
        <w:t>残る事項</w:t>
      </w:r>
      <w:r>
        <w:t xml:space="preserve"> / Remaining findings</w:t>
      </w:r>
    </w:p>
    <w:p w14:paraId="10000067" w14:textId="10000068" w:rsidR="00A17E3C" w:rsidRDefault="00A17E3C">
      <w:r>
        <w:t>この評価は依頼された</w:t>
      </w:r>
      <w:r>
        <w:t>2</w:t>
      </w:r>
      <w:r>
        <w:t>項目と対照問に絞った既知の回帰確認です。任意の将来質問の無誤答、元</w:t>
      </w:r>
      <w:r>
        <w:t>32</w:t>
      </w:r>
      <w:r>
        <w:t>枠全体の合格、独立した人間の</w:t>
      </w:r>
      <w:r>
        <w:t>sign-off</w:t>
      </w:r>
      <w:r>
        <w:t>、主</w:t>
      </w:r>
      <w:r>
        <w:t>Agent</w:t>
      </w:r>
      <w:r>
        <w:t>への昇格を意味しません。</w:t>
      </w:r>
    </w:p>
    <w:p w14:paraId="10000069" w14:textId="1000006A" w:rsidR="00A17E3C" w:rsidRDefault="00A17E3C">
      <w:r>
        <w:t>前回の</w:t>
      </w:r>
      <w:r>
        <w:t>HTTP500</w:t>
      </w:r>
      <w:r>
        <w:t>で送信結果不明となった</w:t>
      </w:r>
      <w:r>
        <w:t>F30-N10</w:t>
      </w:r>
      <w:r>
        <w:t>は対象外で、再送も判定の上書きもしていません。前回</w:t>
      </w:r>
      <w:r>
        <w:t>32</w:t>
      </w:r>
      <w:r>
        <w:t>枠の</w:t>
      </w:r>
      <w:r>
        <w:t>29 PASS/2 FAIL/1 UNKNOWN</w:t>
      </w:r>
      <w:r>
        <w:t>および元</w:t>
      </w:r>
      <w:r>
        <w:t>100</w:t>
      </w:r>
      <w:r>
        <w:t>枠の記録は保存したままです。</w:t>
      </w:r>
    </w:p>
    <w:p w14:paraId="1000006B" w14:textId="1000006C" w:rsidR="00A17E3C" w:rsidRDefault="00A17E3C">
      <w:r>
        <w:t>判定は</w:t>
      </w:r>
      <w:r>
        <w:t>AI</w:t>
      </w:r>
      <w:r>
        <w:t>補助で、内部</w:t>
      </w:r>
      <w:r>
        <w:t>SQL/KQL/DAX</w:t>
      </w:r>
      <w:r>
        <w:t>、内部</w:t>
      </w:r>
      <w:r>
        <w:t>rowset</w:t>
      </w:r>
      <w:r>
        <w:t>、</w:t>
      </w:r>
      <w:r>
        <w:t>backend</w:t>
      </w:r>
      <w:r>
        <w:t>会話</w:t>
      </w:r>
      <w:r>
        <w:t>ID</w:t>
      </w:r>
      <w:r>
        <w:t>は</w:t>
      </w:r>
      <w:r>
        <w:t>UNOBSERVABLE</w:t>
      </w:r>
      <w:r>
        <w:t>です。引用の一致、ソース例の成功、定義</w:t>
      </w:r>
      <w:r>
        <w:t>readback</w:t>
      </w:r>
      <w:r>
        <w:t>だけを</w:t>
      </w:r>
      <w:r>
        <w:t>AI</w:t>
      </w:r>
      <w:r>
        <w:t>回答の</w:t>
      </w:r>
      <w:r>
        <w:t>PASS</w:t>
      </w:r>
      <w:r>
        <w:t>として加算していません。</w:t>
      </w:r>
    </w:p>
    <w:p w14:paraId="1000006D" w14:textId="1000006E" w:rsidR="00A17E3C" w:rsidRDefault="00A17E3C">
      <w:r>
        <w:t>This is a focused known regression, not a full32-case reevaluation, an independent holdout, a general correctness guarantee or main-Agent promotion.</w:t>
      </w:r>
    </w:p>
    <w:p w14:paraId="1000006F" w14:textId="10000070" w:rsidR="00A17E3C" w:rsidRDefault="00A17E3C">
      <w:r>
        <w:t>The prior uncertain HTTP500 question is excluded and never replayed. Historical results and released artifacts remain unchanged; internal query execution and backend conversation identity remain unobservable.</w:t>
      </w:r>
    </w:p>
    <w:p w14:paraId="10000071" w14:textId="10000072" w:rsidR="00A17E3C" w:rsidRDefault="00A17E3C">
      <w:pPr>
        <w:pStyle w:val="Heading1"/>
        <w:pBdr>
          <w:bottom w:val="single" w:sz="6" w:space="0" w:color="D0D7DE"/>
        </w:pBdr>
        <w:spacing w:before="520" w:after="120"/>
      </w:pPr>
      <w:r>
        <w:t>証拠と採用境界</w:t>
      </w:r>
      <w:r>
        <w:t xml:space="preserve"> / Evidence and adoption boundary</w:t>
      </w:r>
    </w:p>
    <w:p w14:paraId="10000073" w14:textId="10000074" w:rsidR="00A17E3C" w:rsidRDefault="00A17E3C">
      <w:r>
        <w:t>主</w:t>
      </w:r>
      <w:r>
        <w:t>Agent</w:t>
      </w:r>
      <w:r>
        <w:t>へは昇格していません。元</w:t>
      </w:r>
      <w:r>
        <w:t>3.0.0</w:t>
      </w:r>
      <w:r>
        <w:t>と</w:t>
      </w:r>
      <w:r>
        <w:t>2026-10-02</w:t>
      </w:r>
      <w:r>
        <w:t>の</w:t>
      </w:r>
      <w:r>
        <w:t>Word</w:t>
      </w:r>
      <w:r>
        <w:t>・</w:t>
      </w:r>
      <w:r>
        <w:t>HTML</w:t>
      </w:r>
      <w:r>
        <w:t>、</w:t>
      </w:r>
      <w:r>
        <w:t>100</w:t>
      </w:r>
      <w:r>
        <w:t>問評価、</w:t>
      </w:r>
      <w:r>
        <w:t>release tag</w:t>
      </w:r>
      <w:r>
        <w:t>は変更していません。本資料は別日付の追補です。</w:t>
      </w:r>
    </w:p>
    <w:p w14:paraId="10000075" w14:textId="10000076" w:rsidR="00A17E3C" w:rsidRDefault="00A17E3C">
      <w:r>
        <w:t>判定は固定期待値と実回答を照合した</w:t>
      </w:r>
      <w:r>
        <w:t>AI</w:t>
      </w:r>
      <w:r>
        <w:t>補助審査です。独立した人間の</w:t>
      </w:r>
      <w:r>
        <w:t>sign-off</w:t>
      </w:r>
      <w:r>
        <w:t>ではありません。内部</w:t>
      </w:r>
      <w:r>
        <w:t>SQL/KQL/GQL/DAX</w:t>
      </w:r>
      <w:r>
        <w:t>と</w:t>
      </w:r>
      <w:r>
        <w:t>backend</w:t>
      </w:r>
      <w:r>
        <w:t>会話</w:t>
      </w:r>
      <w:r>
        <w:t>ID</w:t>
      </w:r>
      <w:r>
        <w:t>は</w:t>
      </w:r>
      <w:r>
        <w:t>UNOBSERVABLE</w:t>
      </w:r>
      <w:r>
        <w:t>です。</w:t>
      </w:r>
    </w:p>
    <w:p w14:paraId="10000077" w14:textId="10000078" w:rsidR="00A17E3C" w:rsidRDefault="00A17E3C">
      <w:r>
        <w:t>元</w:t>
      </w:r>
      <w:r>
        <w:t>100</w:t>
      </w:r>
      <w:r>
        <w:t>問の</w:t>
      </w:r>
      <w:r>
        <w:t>33 PASS /57 FAIL /10 UNKNOWN</w:t>
      </w:r>
      <w:r>
        <w:t>を本資料の小さい分母で置き換えていません。構成テストや例の検証成功を</w:t>
      </w:r>
      <w:r>
        <w:t>AI</w:t>
      </w:r>
      <w:r>
        <w:t>回答の</w:t>
      </w:r>
      <w:r>
        <w:t>PASS</w:t>
      </w:r>
      <w:r>
        <w:t>へ加算しません。</w:t>
      </w:r>
    </w:p>
    <w:p w14:paraId="10000079" w14:textId="1000007A" w:rsidR="00A17E3C" w:rsidRDefault="00A17E3C">
      <w:r>
        <w:t>The main Agent, original studies and existing releases are preserved. No general-population accuracy, native execution-trace proof, product GA or independent human acceptance is claimed.</w:t>
      </w:r>
    </w:p>
    <w:p w14:paraId="1000007B" w14:textId="1000007C" w:rsidR="00A17E3C" w:rsidRDefault="00A17E3C">
      <w:r>
        <w:rPr>
          <w:sz w:val="16"/>
        </w:rPr>
        <w:t>Source study SHA-256: 4c23a78aeccdb828e91c93932c0715605dff1a4a6fe3f2a43dfaeb2ee0e1ec5c</w:t>
      </w:r>
    </w:p>
    <w:sectPr w:rsidR="00A17E3C">
      <w:headerReference w:type="default" r:id="rId7"/>
      <w:footerReference w:type="default" r:id="rId8"/>
      <w:headerReference w:type="first" r:id="rId9"/>
      <w:footerReference w:type="first" r:id="rId10"/>
      <w:pgSz w:w="11906" w:h="16838"/>
      <w:pgMar w:top="1134" w:right="1134" w:bottom="1020" w:left="1134"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0007D" w14:textId="1000007E" w:rsidR="00A17E3C" w:rsidRDefault="00A17E3C">
      <w:pPr>
        <w:spacing w:after="0" w:line="240" w:lineRule="auto"/>
      </w:pPr>
      <w:r>
        <w:separator/>
      </w:r>
    </w:p>
  </w:endnote>
  <w:endnote w:type="continuationSeparator" w:id="0">
    <w:p w14:paraId="1000007F" w14:textId="10000080" w:rsidR="00A17E3C" w:rsidRDefault="00A17E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Yu Gothic UI">
    <w:panose1 w:val="020B05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00081" w14:textId="10000082" w:rsidR="00A17E3C" w:rsidRDefault="00A17E3C">
    <w:pPr>
      <w:pStyle w:val="Footer"/>
      <w:pBdr>
        <w:top w:val="single" w:sz="8" w:space="4" w:color="8EA9C1"/>
      </w:pBdr>
      <w:tabs>
        <w:tab w:val="right" w:pos="9638"/>
      </w:tabs>
    </w:pPr>
    <w:r>
      <w:rPr>
        <w:sz w:val="18"/>
      </w:rPr>
      <w:tab/>
    </w:r>
    <w:r>
      <w:rPr>
        <w:b/>
        <w:color w:val="4B5563"/>
        <w:sz w:val="18"/>
      </w:rPr>
      <w:t xml:space="preserve">Page </w:t>
    </w:r>
    <w:r>
      <w:rPr>
        <w:color w:val="4B5563"/>
        <w:sz w:val="18"/>
      </w:rPr>
      <w:fldChar w:fldCharType="begin"/>
    </w:r>
    <w:r>
      <w:rPr>
        <w:color w:val="4B5563"/>
        <w:sz w:val="18"/>
      </w:rPr>
      <w:instrText xml:space="preserve"> PAGE </w:instrText>
    </w:r>
    <w:r>
      <w:rPr>
        <w:color w:val="4B5563"/>
        <w:sz w:val="18"/>
      </w:rPr>
      <w:fldChar w:fldCharType="separate"/>
    </w:r>
    <w:r>
      <w:rPr>
        <w:color w:val="4B5563"/>
        <w:sz w:val="18"/>
      </w:rPr>
      <w:t>1</w:t>
    </w:r>
    <w:r>
      <w:rPr>
        <w:color w:val="4B5563"/>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00083" w14:textId="10000084" w:rsidR="00A17E3C" w:rsidRDefault="00A17E3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00085" w14:textId="10000086" w:rsidR="00A17E3C" w:rsidRDefault="00A17E3C">
      <w:pPr>
        <w:spacing w:after="0" w:line="240" w:lineRule="auto"/>
      </w:pPr>
      <w:r>
        <w:separator/>
      </w:r>
    </w:p>
  </w:footnote>
  <w:footnote w:type="continuationSeparator" w:id="0">
    <w:p w14:paraId="10000087" w14:textId="10000088" w:rsidR="00A17E3C" w:rsidRDefault="00A17E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00089" w14:textId="1000008A" w:rsidR="00A17E3C" w:rsidRDefault="00A17E3C">
    <w:pPr>
      <w:pStyle w:val="Header"/>
      <w:pBdr>
        <w:bottom w:val="single" w:sz="6" w:space="2" w:color="D0D7DE"/>
      </w:pBdr>
      <w:tabs>
        <w:tab w:val="clear" w:pos="4680"/>
        <w:tab w:val="clear" w:pos="9360"/>
        <w:tab w:val="right" w:pos="9638"/>
      </w:tabs>
    </w:pPr>
    <w:r>
      <w:rPr>
        <w:noProof/>
      </w:rPr>
      <w:drawing>
        <wp:inline distT="0" distB="0" distL="0" distR="0" wp14:anchorId="1000008B" wp14:editId="1000008C">
          <wp:extent cx="177165" cy="182880"/>
          <wp:effectExtent l="0" t="0" r="0" b="0"/>
          <wp:docPr id="9101" name="Microsoft Fabric logo" descr="Microsoft Fabri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 name="Microsoft Fabric logo" descr="Microsoft Fabric logo"/>
                  <pic:cNvPicPr/>
                </pic:nvPicPr>
                <pic:blipFill>
                  <a:blip r:embed="rId1"/>
                  <a:stretch>
                    <a:fillRect/>
                  </a:stretch>
                </pic:blipFill>
                <pic:spPr>
                  <a:xfrm>
                    <a:off x="0" y="0"/>
                    <a:ext cx="177165" cy="182880"/>
                  </a:xfrm>
                  <a:prstGeom prst="rect">
                    <a:avLst/>
                  </a:prstGeom>
                </pic:spPr>
              </pic:pic>
            </a:graphicData>
          </a:graphic>
        </wp:inline>
      </w:drawing>
    </w:r>
    <w:r>
      <w:rPr>
        <w:b/>
        <w:color w:val="174C88"/>
        <w:sz w:val="17"/>
      </w:rPr>
      <w:t xml:space="preserve">  Microsoft Fabric IQ Workshop FY27</w:t>
    </w:r>
    <w:r>
      <w:rPr>
        <w:sz w:val="17"/>
      </w:rPr>
      <w:tab/>
    </w:r>
    <w:r>
      <w:rPr>
        <w:color w:val="7A869A"/>
        <w:sz w:val="17"/>
      </w:rPr>
      <w:t>Furusato Ontology Hands-on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0008D" w14:textId="1000008E" w:rsidR="00A17E3C" w:rsidRDefault="00A17E3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Yu Gothic UI" w:eastAsia="Yu Gothic UI" w:hAnsi="Yu Gothic UI" w:cs="Yu Gothic UI"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Yu Gothic UI" w:eastAsia="Yu Gothic UI" w:hAnsi="Yu Gothic UI" w:cs="Yu Gothic UI"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Yu Gothic UI" w:eastAsia="Yu Gothic UI" w:hAnsi="Yu Gothic UI" w:cs="Yu Gothic UI"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Yu Gothic UI" w:eastAsia="Yu Gothic UI" w:hAnsi="Yu Gothic UI" w:cs="Yu Gothic UI" w:hint="default"/>
      </w:rPr>
    </w:lvl>
  </w:abstractNum>
  <w:abstractNum w:abstractNumId="9" w15:restartNumberingAfterBreak="0">
    <w:nsid w:val="376E2885"/>
    <w:multiLevelType w:val="multilevel"/>
    <w:tmpl w:val="7CD0B2D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Yu Gothic UI" w:eastAsia="Yu Gothic UI" w:hAnsi="Yu Gothic UI" w:cs="Yu Gothic UI"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4903C87"/>
    <w:multiLevelType w:val="hybridMultilevel"/>
    <w:tmpl w:val="AAB21E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0000002">
    <w:abstractNumId w:val="8"/>
  </w:num>
  <w:num w:numId="2" w16cid:durableId="1000000003">
    <w:abstractNumId w:val="6"/>
  </w:num>
  <w:num w:numId="3" w16cid:durableId="1000000004">
    <w:abstractNumId w:val="5"/>
  </w:num>
  <w:num w:numId="4" w16cid:durableId="1000000005">
    <w:abstractNumId w:val="4"/>
  </w:num>
  <w:num w:numId="5" w16cid:durableId="1000000006">
    <w:abstractNumId w:val="7"/>
  </w:num>
  <w:num w:numId="6" w16cid:durableId="1000000007">
    <w:abstractNumId w:val="3"/>
  </w:num>
  <w:num w:numId="7" w16cid:durableId="1000000008">
    <w:abstractNumId w:val="2"/>
  </w:num>
  <w:num w:numId="8" w16cid:durableId="1000000009">
    <w:abstractNumId w:val="1"/>
  </w:num>
  <w:num w:numId="9" w16cid:durableId="1000000010">
    <w:abstractNumId w:val="0"/>
  </w:num>
  <w:num w:numId="10" w16cid:durableId="1000000011">
    <w:abstractNumId w:val="10"/>
  </w:num>
  <w:num w:numId="11" w16cid:durableId="10000000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720"/>
  <w:characterSpacingControl w:val="compressPunctuation"/>
  <w:strictFirstAndLastChars w:val="true"/>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E3C"/>
    <w:rsid w:val="00A17E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v:textbox inset="5.85pt,.7pt,5.85pt,.7pt"/>
    </o:shapedefaults>
    <o:shapelayout v:ext="edit">
      <o:idmap v:ext="edit" data="2"/>
    </o:shapelayout>
  </w:shapeDefaults>
  <w:decimalSymbol w:val="."/>
  <w:listSeparator w:val=","/>
  <w14:docId w14:val="00A17E3C"/>
  <w14:defaultImageDpi w14:val="300"/>
  <w15:docId w15:val="{DF0D9BDA-F63A-4AC6-B437-9B88572CF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Yu Gothic UI" w:eastAsia="Yu Gothic UI" w:hAnsi="Yu Gothic UI" w:cs="Yu Gothic UI"/>
        <w:sz w:val="22"/>
        <w:szCs w:val="22"/>
        <w:lang w:val="en-US" w:eastAsia="ja-JP" w:bidi="ar-SA"/>
      </w:rPr>
    </w:rPrDefault>
    <w:pPrDefault>
      <w:pPr>
        <w:kinsoku w:val="true"/>
        <w:wordWrap w:val="true"/>
        <w:overflowPunct w:val="true"/>
        <w:topLinePunct w:val="false"/>
        <w:autoSpaceDE w:val="true"/>
        <w:autoSpaceDN w:val="true"/>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93" w:lineRule="auto"/>
    </w:pPr>
    <w:rPr>
      <w:sz w:val="21"/>
    </w:rPr>
  </w:style>
  <w:style w:type="paragraph" w:styleId="Heading1">
    <w:name w:val="heading 1"/>
    <w:basedOn w:val="Normal"/>
    <w:next w:val="Normal"/>
    <w:link w:val="Heading1Char"/>
    <w:uiPriority w:val="9"/>
    <w:qFormat/>
    <w:rsid w:val="00FC693F"/>
    <w:pPr>
      <w:keepNext/>
      <w:keepLines/>
      <w:spacing w:before="320" w:after="160"/>
      <w:outlineLvl w:val="0"/>
    </w:pPr>
    <w:rPr>
      <w:b/>
      <w:bCs/>
      <w:color w:val="174C88"/>
      <w:sz w:val="3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b/>
      <w:bCs/>
      <w:color w:val="174C88"/>
      <w:sz w:val="2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color w:val="0F6CBD"/>
      <w:sz w:val="24"/>
    </w:rPr>
  </w:style>
  <w:style w:type="paragraph" w:styleId="Heading4">
    <w:name w:val="heading 4"/>
    <w:basedOn w:val="Normal"/>
    <w:next w:val="Normal"/>
    <w:link w:val="Heading4Char"/>
    <w:uiPriority w:val="9"/>
    <w:unhideWhenUsed/>
    <w:qFormat/>
    <w:rsid w:val="00FC693F"/>
    <w:pPr>
      <w:keepNext/>
      <w:keepLines/>
      <w:spacing w:before="200" w:after="0"/>
      <w:outlineLvl w:val="3"/>
    </w:pPr>
    <w:rPr>
      <w:b/>
      <w:bCs/>
      <w:i/>
      <w:iCs/>
      <w:color w:val="4B556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Yu Gothic UI" w:eastAsia="Yu Gothic UI" w:hAnsi="Yu Gothic UI" w:cs="Yu Gothic UI"/>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Yu Gothic UI" w:eastAsia="Yu Gothic UI" w:hAnsi="Yu Gothic UI" w:cs="Yu Gothic UI"/>
    </w:rPr>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Yu Gothic UI" w:eastAsia="Yu Gothic UI" w:hAnsi="Yu Gothic UI" w:cs="Yu Gothic U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Yu Gothic UI" w:eastAsia="Yu Gothic UI" w:hAnsi="Yu Gothic UI" w:cs="Yu Gothic UI"/>
      <w:b/>
      <w:bCs/>
      <w:color w:val="4F81BD" w:themeColor="accent1"/>
      <w:sz w:val="26"/>
      <w:szCs w:val="26"/>
    </w:rPr>
  </w:style>
  <w:style w:type="character" w:customStyle="1" w:styleId="Heading3Char">
    <w:name w:val="Heading 3 Char"/>
    <w:basedOn w:val="DefaultParagraphFont"/>
    <w:link w:val="Heading3"/>
    <w:uiPriority w:val="9"/>
    <w:rsid w:val="00FC693F"/>
    <w:rPr>
      <w:rFonts w:ascii="Yu Gothic UI" w:eastAsia="Yu Gothic UI" w:hAnsi="Yu Gothic UI" w:cs="Yu Gothic U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b/>
      <w:color w:val="174C88"/>
      <w:spacing w:val="5"/>
      <w:kern w:val="28"/>
      <w:sz w:val="60"/>
      <w:szCs w:val="52"/>
    </w:rPr>
  </w:style>
  <w:style w:type="character" w:customStyle="1" w:styleId="TitleChar">
    <w:name w:val="Title Char"/>
    <w:basedOn w:val="DefaultParagraphFont"/>
    <w:link w:val="Title"/>
    <w:uiPriority w:val="10"/>
    <w:rsid w:val="00FC693F"/>
    <w:rPr>
      <w:rFonts w:ascii="Yu Gothic UI" w:eastAsia="Yu Gothic UI" w:hAnsi="Yu Gothic UI" w:cs="Yu Gothic U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Yu Gothic UI" w:eastAsia="Yu Gothic UI" w:hAnsi="Yu Gothic UI" w:cs="Yu Gothic U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Yu Gothic UI" w:eastAsia="Yu Gothic UI" w:hAnsi="Yu Gothic UI" w:cs="Yu Gothic UI"/>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Yu Gothic UI" w:eastAsia="Yu Gothic UI" w:hAnsi="Yu Gothic UI" w:cs="Yu Gothic UI"/>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Yu Gothic UI" w:eastAsia="Yu Gothic UI" w:hAnsi="Yu Gothic UI" w:cs="Yu Gothic UI"/>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sz w:val="20"/>
      <w:szCs w:val="20"/>
    </w:rPr>
  </w:style>
  <w:style w:type="character" w:customStyle="1" w:styleId="MacroTextChar">
    <w:name w:val="Macro Text Char"/>
    <w:basedOn w:val="DefaultParagraphFont"/>
    <w:link w:val="MacroText"/>
    <w:uiPriority w:val="99"/>
    <w:rsid w:val="0029639D"/>
    <w:rPr>
      <w:rFonts w:ascii="Yu Gothic UI" w:eastAsia="Yu Gothic UI" w:hAnsi="Yu Gothic UI" w:cs="Yu Gothic UI"/>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Yu Gothic UI" w:eastAsia="Yu Gothic UI" w:hAnsi="Yu Gothic UI" w:cs="Yu Gothic UI"/>
      <w:i/>
      <w:iCs/>
      <w:color w:val="000000" w:themeColor="text1"/>
    </w:rPr>
  </w:style>
  <w:style w:type="character" w:customStyle="1" w:styleId="Heading4Char">
    <w:name w:val="Heading 4 Char"/>
    <w:basedOn w:val="DefaultParagraphFont"/>
    <w:link w:val="Heading4"/>
    <w:uiPriority w:val="9"/>
    <w:rsid w:val="00FC693F"/>
    <w:rPr>
      <w:rFonts w:ascii="Yu Gothic UI" w:eastAsia="Yu Gothic UI" w:hAnsi="Yu Gothic UI" w:cs="Yu Gothic UI"/>
      <w:b/>
      <w:bCs/>
      <w:i/>
      <w:iCs/>
      <w:color w:val="4F81BD" w:themeColor="accent1"/>
    </w:rPr>
  </w:style>
  <w:style w:type="character" w:customStyle="1" w:styleId="Heading5Char">
    <w:name w:val="Heading 5 Char"/>
    <w:basedOn w:val="DefaultParagraphFont"/>
    <w:link w:val="Heading5"/>
    <w:uiPriority w:val="9"/>
    <w:semiHidden/>
    <w:rsid w:val="00FC693F"/>
    <w:rPr>
      <w:rFonts w:ascii="Yu Gothic UI" w:eastAsia="Yu Gothic UI" w:hAnsi="Yu Gothic UI" w:cs="Yu Gothic UI"/>
      <w:color w:val="243F60" w:themeColor="accent1" w:themeShade="7F"/>
    </w:rPr>
  </w:style>
  <w:style w:type="character" w:customStyle="1" w:styleId="Heading6Char">
    <w:name w:val="Heading 6 Char"/>
    <w:basedOn w:val="DefaultParagraphFont"/>
    <w:link w:val="Heading6"/>
    <w:uiPriority w:val="9"/>
    <w:semiHidden/>
    <w:rsid w:val="00FC693F"/>
    <w:rPr>
      <w:rFonts w:ascii="Yu Gothic UI" w:eastAsia="Yu Gothic UI" w:hAnsi="Yu Gothic UI" w:cs="Yu Gothic UI"/>
      <w:i/>
      <w:iCs/>
      <w:color w:val="243F60" w:themeColor="accent1" w:themeShade="7F"/>
    </w:rPr>
  </w:style>
  <w:style w:type="character" w:customStyle="1" w:styleId="Heading7Char">
    <w:name w:val="Heading 7 Char"/>
    <w:basedOn w:val="DefaultParagraphFont"/>
    <w:link w:val="Heading7"/>
    <w:uiPriority w:val="9"/>
    <w:semiHidden/>
    <w:rsid w:val="00FC693F"/>
    <w:rPr>
      <w:rFonts w:ascii="Yu Gothic UI" w:eastAsia="Yu Gothic UI" w:hAnsi="Yu Gothic UI" w:cs="Yu Gothic UI"/>
      <w:i/>
      <w:iCs/>
      <w:color w:val="404040" w:themeColor="text1" w:themeTint="BF"/>
    </w:rPr>
  </w:style>
  <w:style w:type="character" w:customStyle="1" w:styleId="Heading8Char">
    <w:name w:val="Heading 8 Char"/>
    <w:basedOn w:val="DefaultParagraphFont"/>
    <w:link w:val="Heading8"/>
    <w:uiPriority w:val="9"/>
    <w:semiHidden/>
    <w:rsid w:val="00FC693F"/>
    <w:rPr>
      <w:rFonts w:ascii="Yu Gothic UI" w:eastAsia="Yu Gothic UI" w:hAnsi="Yu Gothic UI" w:cs="Yu Gothic UI"/>
      <w:color w:val="4F81BD" w:themeColor="accent1"/>
      <w:sz w:val="20"/>
      <w:szCs w:val="20"/>
    </w:rPr>
  </w:style>
  <w:style w:type="character" w:customStyle="1" w:styleId="Heading9Char">
    <w:name w:val="Heading 9 Char"/>
    <w:basedOn w:val="DefaultParagraphFont"/>
    <w:link w:val="Heading9"/>
    <w:uiPriority w:val="9"/>
    <w:semiHidden/>
    <w:rsid w:val="00FC693F"/>
    <w:rPr>
      <w:rFonts w:ascii="Yu Gothic UI" w:eastAsia="Yu Gothic UI" w:hAnsi="Yu Gothic UI" w:cs="Yu Gothic U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5B6674"/>
      <w:sz w:val="18"/>
      <w:szCs w:val="18"/>
    </w:rPr>
  </w:style>
  <w:style w:type="character" w:styleId="Strong">
    <w:name w:val="Strong"/>
    <w:basedOn w:val="DefaultParagraphFont"/>
    <w:uiPriority w:val="22"/>
    <w:qFormat/>
    <w:rsid w:val="00FC693F"/>
    <w:rPr>
      <w:rFonts w:ascii="Yu Gothic UI" w:eastAsia="Yu Gothic UI" w:hAnsi="Yu Gothic UI" w:cs="Yu Gothic UI"/>
      <w:b/>
      <w:bCs/>
    </w:rPr>
  </w:style>
  <w:style w:type="character" w:styleId="Emphasis">
    <w:name w:val="Emphasis"/>
    <w:basedOn w:val="DefaultParagraphFont"/>
    <w:uiPriority w:val="20"/>
    <w:qFormat/>
    <w:rsid w:val="00FC693F"/>
    <w:rPr>
      <w:rFonts w:ascii="Yu Gothic UI" w:eastAsia="Yu Gothic UI" w:hAnsi="Yu Gothic UI" w:cs="Yu Gothic UI"/>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Yu Gothic UI" w:eastAsia="Yu Gothic UI" w:hAnsi="Yu Gothic UI" w:cs="Yu Gothic UI"/>
      <w:b/>
      <w:bCs/>
      <w:i/>
      <w:iCs/>
      <w:color w:val="4F81BD" w:themeColor="accent1"/>
    </w:rPr>
  </w:style>
  <w:style w:type="character" w:styleId="SubtleEmphasis">
    <w:name w:val="Subtle Emphasis"/>
    <w:basedOn w:val="DefaultParagraphFont"/>
    <w:uiPriority w:val="19"/>
    <w:qFormat/>
    <w:rsid w:val="00FC693F"/>
    <w:rPr>
      <w:rFonts w:ascii="Yu Gothic UI" w:eastAsia="Yu Gothic UI" w:hAnsi="Yu Gothic UI" w:cs="Yu Gothic UI"/>
      <w:i/>
      <w:iCs/>
      <w:color w:val="808080" w:themeColor="text1" w:themeTint="7F"/>
    </w:rPr>
  </w:style>
  <w:style w:type="character" w:styleId="IntenseEmphasis">
    <w:name w:val="Intense Emphasis"/>
    <w:basedOn w:val="DefaultParagraphFont"/>
    <w:uiPriority w:val="21"/>
    <w:qFormat/>
    <w:rsid w:val="00FC693F"/>
    <w:rPr>
      <w:rFonts w:ascii="Yu Gothic UI" w:eastAsia="Yu Gothic UI" w:hAnsi="Yu Gothic UI" w:cs="Yu Gothic UI"/>
      <w:b/>
      <w:bCs/>
      <w:i/>
      <w:iCs/>
      <w:color w:val="4F81BD" w:themeColor="accent1"/>
    </w:rPr>
  </w:style>
  <w:style w:type="character" w:styleId="SubtleReference">
    <w:name w:val="Subtle Reference"/>
    <w:basedOn w:val="DefaultParagraphFont"/>
    <w:uiPriority w:val="31"/>
    <w:qFormat/>
    <w:rsid w:val="00FC693F"/>
    <w:rPr>
      <w:rFonts w:ascii="Yu Gothic UI" w:eastAsia="Yu Gothic UI" w:hAnsi="Yu Gothic UI" w:cs="Yu Gothic UI"/>
      <w:smallCaps/>
      <w:color w:val="C0504D" w:themeColor="accent2"/>
      <w:u w:val="single"/>
    </w:rPr>
  </w:style>
  <w:style w:type="character" w:styleId="IntenseReference">
    <w:name w:val="Intense Reference"/>
    <w:basedOn w:val="DefaultParagraphFont"/>
    <w:uiPriority w:val="32"/>
    <w:qFormat/>
    <w:rsid w:val="00FC693F"/>
    <w:rPr>
      <w:rFonts w:ascii="Yu Gothic UI" w:eastAsia="Yu Gothic UI" w:hAnsi="Yu Gothic UI" w:cs="Yu Gothic UI"/>
      <w:b/>
      <w:bCs/>
      <w:smallCaps/>
      <w:color w:val="C0504D" w:themeColor="accent2"/>
      <w:spacing w:val="5"/>
      <w:u w:val="single"/>
    </w:rPr>
  </w:style>
  <w:style w:type="character" w:styleId="BookTitle">
    <w:name w:val="Book Title"/>
    <w:basedOn w:val="DefaultParagraphFont"/>
    <w:uiPriority w:val="33"/>
    <w:qFormat/>
    <w:rsid w:val="00FC693F"/>
    <w:rPr>
      <w:rFonts w:ascii="Yu Gothic UI" w:eastAsia="Yu Gothic UI" w:hAnsi="Yu Gothic UI" w:cs="Yu Gothic UI"/>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Yu Gothic UI" w:eastAsia="Yu Gothic UI" w:hAnsi="Yu Gothic UI" w:cs="Yu Gothic U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Yu Gothic UI" w:eastAsia="Yu Gothic UI" w:hAnsi="Yu Gothic UI" w:cs="Yu Gothic U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Yu Gothic UI" w:eastAsia="Yu Gothic UI" w:hAnsi="Yu Gothic UI" w:cs="Yu Gothic UI"/>
        <w:b/>
        <w:bCs/>
      </w:rPr>
    </w:tblStylePr>
    <w:tblStylePr w:type="lastCol">
      <w:rPr>
        <w:rFonts w:ascii="Yu Gothic UI" w:eastAsia="Yu Gothic UI" w:hAnsi="Yu Gothic UI" w:cs="Yu Gothic U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Yu Gothic UI" w:eastAsia="Yu Gothic UI" w:hAnsi="Yu Gothic UI" w:cs="Yu Gothic U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Yu Gothic UI" w:eastAsia="Yu Gothic UI" w:hAnsi="Yu Gothic UI" w:cs="Yu Gothic U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Yu Gothic UI" w:eastAsia="Yu Gothic UI" w:hAnsi="Yu Gothic UI" w:cs="Yu Gothic UI"/>
        <w:b/>
        <w:bCs/>
      </w:rPr>
    </w:tblStylePr>
    <w:tblStylePr w:type="lastCol">
      <w:rPr>
        <w:rFonts w:ascii="Yu Gothic UI" w:eastAsia="Yu Gothic UI" w:hAnsi="Yu Gothic UI" w:cs="Yu Gothic U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Yu Gothic UI" w:eastAsia="Yu Gothic UI" w:hAnsi="Yu Gothic UI" w:cs="Yu Gothic U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Yu Gothic UI" w:eastAsia="Yu Gothic UI" w:hAnsi="Yu Gothic UI" w:cs="Yu Gothic U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Yu Gothic UI" w:eastAsia="Yu Gothic UI" w:hAnsi="Yu Gothic UI" w:cs="Yu Gothic UI"/>
        <w:b/>
        <w:bCs/>
      </w:rPr>
    </w:tblStylePr>
    <w:tblStylePr w:type="lastCol">
      <w:rPr>
        <w:rFonts w:ascii="Yu Gothic UI" w:eastAsia="Yu Gothic UI" w:hAnsi="Yu Gothic UI" w:cs="Yu Gothic U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Yu Gothic UI" w:eastAsia="Yu Gothic UI" w:hAnsi="Yu Gothic UI" w:cs="Yu Gothic U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Yu Gothic UI" w:eastAsia="Yu Gothic UI" w:hAnsi="Yu Gothic UI" w:cs="Yu Gothic U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Yu Gothic UI" w:eastAsia="Yu Gothic UI" w:hAnsi="Yu Gothic UI" w:cs="Yu Gothic UI"/>
        <w:b/>
        <w:bCs/>
      </w:rPr>
    </w:tblStylePr>
    <w:tblStylePr w:type="lastCol">
      <w:rPr>
        <w:rFonts w:ascii="Yu Gothic UI" w:eastAsia="Yu Gothic UI" w:hAnsi="Yu Gothic UI" w:cs="Yu Gothic U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Yu Gothic UI" w:eastAsia="Yu Gothic UI" w:hAnsi="Yu Gothic UI" w:cs="Yu Gothic U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Yu Gothic UI" w:eastAsia="Yu Gothic UI" w:hAnsi="Yu Gothic UI" w:cs="Yu Gothic U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Yu Gothic UI" w:eastAsia="Yu Gothic UI" w:hAnsi="Yu Gothic UI" w:cs="Yu Gothic UI"/>
        <w:b/>
        <w:bCs/>
      </w:rPr>
    </w:tblStylePr>
    <w:tblStylePr w:type="lastCol">
      <w:rPr>
        <w:rFonts w:ascii="Yu Gothic UI" w:eastAsia="Yu Gothic UI" w:hAnsi="Yu Gothic UI" w:cs="Yu Gothic U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Yu Gothic UI" w:eastAsia="Yu Gothic UI" w:hAnsi="Yu Gothic UI" w:cs="Yu Gothic U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Yu Gothic UI" w:eastAsia="Yu Gothic UI" w:hAnsi="Yu Gothic UI" w:cs="Yu Gothic U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Yu Gothic UI" w:eastAsia="Yu Gothic UI" w:hAnsi="Yu Gothic UI" w:cs="Yu Gothic UI"/>
        <w:b/>
        <w:bCs/>
      </w:rPr>
    </w:tblStylePr>
    <w:tblStylePr w:type="lastCol">
      <w:rPr>
        <w:rFonts w:ascii="Yu Gothic UI" w:eastAsia="Yu Gothic UI" w:hAnsi="Yu Gothic UI" w:cs="Yu Gothic U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Yu Gothic UI" w:eastAsia="Yu Gothic UI" w:hAnsi="Yu Gothic UI" w:cs="Yu Gothic U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Yu Gothic UI" w:eastAsia="Yu Gothic UI" w:hAnsi="Yu Gothic UI" w:cs="Yu Gothic U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Yu Gothic UI" w:eastAsia="Yu Gothic UI" w:hAnsi="Yu Gothic UI" w:cs="Yu Gothic UI"/>
        <w:b/>
        <w:bCs/>
      </w:rPr>
    </w:tblStylePr>
    <w:tblStylePr w:type="lastCol">
      <w:rPr>
        <w:rFonts w:ascii="Yu Gothic UI" w:eastAsia="Yu Gothic UI" w:hAnsi="Yu Gothic UI" w:cs="Yu Gothic U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Yu Gothic UI" w:eastAsia="Yu Gothic UI" w:hAnsi="Yu Gothic UI" w:cs="Yu Gothic U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Yu Gothic UI" w:eastAsia="Yu Gothic UI" w:hAnsi="Yu Gothic UI" w:cs="Yu Gothic U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Yu Gothic UI" w:eastAsia="Yu Gothic UI" w:hAnsi="Yu Gothic UI" w:cs="Yu Gothic U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Yu Gothic UI" w:eastAsia="Yu Gothic UI" w:hAnsi="Yu Gothic UI" w:cs="Yu Gothic U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Yu Gothic UI" w:eastAsia="Yu Gothic UI" w:hAnsi="Yu Gothic UI" w:cs="Yu Gothic U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Yu Gothic UI" w:eastAsia="Yu Gothic UI" w:hAnsi="Yu Gothic UI" w:cs="Yu Gothic U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Yu Gothic UI" w:eastAsia="Yu Gothic UI" w:hAnsi="Yu Gothic UI" w:cs="Yu Gothic U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1066F"/>
  </w:style>
  <w:style w:type="paragraph" w:styleId="TOC2">
    <w:name w:val="toc 2"/>
    <w:basedOn w:val="Normal"/>
    <w:next w:val="Normal"/>
    <w:autoRedefine/>
    <w:uiPriority w:val="39"/>
    <w:unhideWhenUsed/>
    <w:rsid w:val="00C1066F"/>
    <w:pPr>
      <w:ind w:left="210"/>
    </w:pPr>
  </w:style>
  <w:style w:type="paragraph" w:styleId="TOC3">
    <w:name w:val="toc 3"/>
    <w:basedOn w:val="Normal"/>
    <w:next w:val="Normal"/>
    <w:autoRedefine/>
    <w:uiPriority w:val="39"/>
    <w:unhideWhenUsed/>
    <w:rsid w:val="00C1066F"/>
    <w:pPr>
      <w:ind w:left="420"/>
    </w:pPr>
  </w:style>
  <w:style w:type="character" w:styleId="Hyperlink">
    <w:name w:val="Hyperlink"/>
    <w:basedOn w:val="DefaultParagraphFont"/>
    <w:uiPriority w:val="99"/>
    <w:unhideWhenUsed/>
    <w:rsid w:val="00C1066F"/>
    <w:rPr>
      <w:rFonts w:ascii="Yu Gothic UI" w:eastAsia="Yu Gothic UI" w:hAnsi="Yu Gothic UI" w:cs="Yu Gothic UI"/>
      <w:color w:val="0000FF" w:themeColor="hyperlink"/>
      <w:u w:val="single"/>
    </w:rPr>
  </w:style>
  <w:style w:type="paragraph" w:styleId="TOC4">
    <w:name w:val="toc 4"/>
    <w:basedOn w:val="Normal"/>
    <w:next w:val="Normal"/>
    <w:autoRedefine/>
    <w:uiPriority w:val="39"/>
    <w:unhideWhenUsed/>
    <w:rsid w:val="009A389C"/>
    <w:pPr>
      <w:spacing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9A389C"/>
    <w:pPr>
      <w:spacing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9A389C"/>
    <w:pPr>
      <w:spacing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9A389C"/>
    <w:pPr>
      <w:spacing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9A389C"/>
    <w:pPr>
      <w:spacing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9A389C"/>
    <w:pPr>
      <w:spacing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9A38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Yu Gothic UI"/>
        <a:ea typeface="Yu Gothic UI"/>
        <a:cs typeface="Yu Gothic UI"/>
        <a:font script="Jpan" typeface="Yu Gothic UI"/>
        <a:font script="Hang" typeface="Yu Gothic UI"/>
        <a:font script="Hans" typeface="Yu Gothic UI"/>
        <a:font script="Hant" typeface="Yu Gothic UI"/>
        <a:font script="Arab" typeface="Yu Gothic UI"/>
        <a:font script="Hebr" typeface="Yu Gothic UI"/>
        <a:font script="Thai" typeface="Yu Gothic UI"/>
        <a:font script="Ethi" typeface="Yu Gothic UI"/>
        <a:font script="Beng" typeface="Yu Gothic UI"/>
        <a:font script="Gujr" typeface="Yu Gothic UI"/>
        <a:font script="Khmr" typeface="Yu Gothic UI"/>
        <a:font script="Knda" typeface="Yu Gothic UI"/>
        <a:font script="Guru" typeface="Yu Gothic UI"/>
        <a:font script="Cans" typeface="Yu Gothic UI"/>
        <a:font script="Cher" typeface="Yu Gothic UI"/>
        <a:font script="Yiii" typeface="Yu Gothic UI"/>
        <a:font script="Tibt" typeface="Yu Gothic UI"/>
        <a:font script="Thaa" typeface="Yu Gothic UI"/>
        <a:font script="Deva" typeface="Yu Gothic UI"/>
        <a:font script="Telu" typeface="Yu Gothic UI"/>
        <a:font script="Taml" typeface="Yu Gothic UI"/>
        <a:font script="Syrc" typeface="Yu Gothic UI"/>
        <a:font script="Orya" typeface="Yu Gothic UI"/>
        <a:font script="Mlym" typeface="Yu Gothic UI"/>
        <a:font script="Laoo" typeface="Yu Gothic UI"/>
        <a:font script="Sinh" typeface="Yu Gothic UI"/>
        <a:font script="Mong" typeface="Yu Gothic UI"/>
        <a:font script="Viet" typeface="Yu Gothic UI"/>
        <a:font script="Uigh" typeface="Yu Gothic UI"/>
        <a:font script="Geor" typeface="Yu Gothic UI"/>
      </a:majorFont>
      <a:minorFont>
        <a:latin typeface="Yu Gothic UI"/>
        <a:ea typeface="Yu Gothic UI"/>
        <a:cs typeface="Yu Gothic UI"/>
        <a:font script="Jpan" typeface="Yu Gothic UI"/>
        <a:font script="Hang" typeface="Yu Gothic UI"/>
        <a:font script="Hans" typeface="Yu Gothic UI"/>
        <a:font script="Hant" typeface="Yu Gothic UI"/>
        <a:font script="Arab" typeface="Yu Gothic UI"/>
        <a:font script="Hebr" typeface="Yu Gothic UI"/>
        <a:font script="Thai" typeface="Yu Gothic UI"/>
        <a:font script="Ethi" typeface="Yu Gothic UI"/>
        <a:font script="Beng" typeface="Yu Gothic UI"/>
        <a:font script="Gujr" typeface="Yu Gothic UI"/>
        <a:font script="Khmr" typeface="Yu Gothic UI"/>
        <a:font script="Knda" typeface="Yu Gothic UI"/>
        <a:font script="Guru" typeface="Yu Gothic UI"/>
        <a:font script="Cans" typeface="Yu Gothic UI"/>
        <a:font script="Cher" typeface="Yu Gothic UI"/>
        <a:font script="Yiii" typeface="Yu Gothic UI"/>
        <a:font script="Tibt" typeface="Yu Gothic UI"/>
        <a:font script="Thaa" typeface="Yu Gothic UI"/>
        <a:font script="Deva" typeface="Yu Gothic UI"/>
        <a:font script="Telu" typeface="Yu Gothic UI"/>
        <a:font script="Taml" typeface="Yu Gothic UI"/>
        <a:font script="Syrc" typeface="Yu Gothic UI"/>
        <a:font script="Orya" typeface="Yu Gothic UI"/>
        <a:font script="Mlym" typeface="Yu Gothic UI"/>
        <a:font script="Laoo" typeface="Yu Gothic UI"/>
        <a:font script="Sinh" typeface="Yu Gothic UI"/>
        <a:font script="Mong" typeface="Yu Gothic UI"/>
        <a:font script="Viet" typeface="Yu Gothic UI"/>
        <a:font script="Uigh" typeface="Yu Gothic UI"/>
        <a:font script="Geor" typeface="Yu Gothic U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f42aa342-8706-4288-bd11-ebb85995028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3</Pages>
  <Words>1898</Words>
  <Characters>3569</Characters>
  <Application>Microsoft Office Word</Application>
  <DocSecurity>0</DocSecurity>
  <Lines>91</Lines>
  <Paragraphs>57</Paragraphs>
  <ScaleCrop>false</ScaleCrop>
  <Company/>
  <LinksUpToDate>false</LinksUpToDate>
  <CharactersWithSpaces>3839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Furusato Fabric Workshop</dc:creator>
  <cp:keywords/>
  <dc:description/>
  <cp:lastModifiedBy>Furusato Fabric Workshop</cp:lastModifiedBy>
  <cp:revision>2</cp:revision>
  <dcterms:created xsi:type="dcterms:W3CDTF">2026-08-14T00:00:00Z</dcterms:created>
  <dcterms:modified xsi:type="dcterms:W3CDTF">2026-08-14T00:00:00Z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etDate">
    <vt:lpwstr>2026-08-14T00:00:00Z</vt:lpwstr>
  </property>
  <property fmtid="{D5CDD505-2E9C-101B-9397-08002B2CF9AE}" pid="4" name="MSIP_Label_f42aa342-8706-4288-bd11-ebb85995028c_Method">
    <vt:lpwstr>Privileged</vt:lpwstr>
  </property>
  <property fmtid="{D5CDD505-2E9C-101B-9397-08002B2CF9AE}" pid="5" name="MSIP_Label_f42aa342-8706-4288-bd11-ebb85995028c_Name">
    <vt:lpwstr>General</vt:lpwstr>
  </property>
  <property fmtid="{D5CDD505-2E9C-101B-9397-08002B2CF9AE}" pid="6" name="MSIP_Label_f42aa342-8706-4288-bd11-ebb85995028c_SiteId">
    <vt:lpwstr>72f988bf-86f1-41af-91ab-2d7cd011db47</vt:lpwstr>
  </property>
  <property fmtid="{D5CDD505-2E9C-101B-9397-08002B2CF9AE}" pid="7" name="MSIP_Label_f42aa342-8706-4288-bd11-ebb85995028c_ContentBits">
    <vt:lpwstr>0</vt:lpwstr>
  </property>
</Properties>
</file>