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00001" w14:textId="10000002" w:rsidR="00A17E3C" w:rsidRDefault="00A17E3C">
      <w:pPr>
        <w:pStyle w:val="Title"/>
      </w:pPr>
      <w:r>
        <w:rPr>
          <w:b w:val="0"/>
        </w:rPr>
        <w:t>Furusato Data Agent tuning</w:t>
      </w:r>
    </w:p>
    <w:p w14:paraId="10000003" w14:textId="10000004" w:rsidR="00A17E3C" w:rsidRDefault="00A17E3C">
      <w:r>
        <w:t xml:space="preserve">2026-10-07 — 3.0.0 </w:t>
      </w:r>
      <w:r>
        <w:t>別日付追補</w:t>
      </w:r>
      <w:r>
        <w:t xml:space="preserve"> / Separately dated addendum</w:t>
      </w:r>
    </w:p>
    <w:p w14:paraId="10000005" w14:textId="10000006" w:rsidR="00A17E3C" w:rsidRDefault="00A17E3C">
      <w:pPr>
        <w:pStyle w:val="Heading1"/>
        <w:pBdr>
          <w:bottom w:val="single" w:sz="6" w:space="0" w:color="D0D7DE"/>
        </w:pBdr>
        <w:spacing w:before="520" w:after="120"/>
      </w:pPr>
      <w:r>
        <w:t>評価結果</w:t>
      </w:r>
      <w:r>
        <w:t xml:space="preserve"> / Measured results</w:t>
      </w:r>
    </w:p>
    <w:p w14:paraId="10000007" w14:textId="10000008" w:rsidR="00A17E3C" w:rsidRDefault="00A17E3C">
      <w:r>
        <w:t>最新の既知開発セットにも</w:t>
      </w:r>
      <w:r>
        <w:t>FAIL</w:t>
      </w:r>
      <w:r>
        <w:t>または</w:t>
      </w:r>
      <w:r>
        <w:t>UNKNOWN</w:t>
      </w:r>
      <w:r>
        <w:t>が残っています。</w:t>
      </w:r>
      <w:r>
        <w:t>0 FAIL</w:t>
      </w:r>
      <w:r>
        <w:t>達成・品質受入とは扱いません。</w:t>
      </w:r>
    </w:p>
    <w:p w14:paraId="10000009" w14:textId="1000000A" w:rsidR="00A17E3C" w:rsidRDefault="00A17E3C">
      <w:r>
        <w:t>既知の開発</w:t>
      </w:r>
      <w:r>
        <w:t>34</w:t>
      </w:r>
      <w:r>
        <w:t>回答</w:t>
      </w:r>
      <w:r>
        <w:t xml:space="preserve">: </w:t>
      </w:r>
      <w:r>
        <w:t>保護された標準</w:t>
      </w:r>
      <w:r>
        <w:t>10</w:t>
      </w:r>
      <w:r>
        <w:t>問</w:t>
      </w:r>
      <w:r>
        <w:t>×2</w:t>
      </w:r>
      <w:r>
        <w:t>回</w:t>
      </w:r>
      <w:r>
        <w:t>(</w:t>
      </w:r>
      <w:r>
        <w:t>質問・</w:t>
      </w:r>
      <w:r>
        <w:t>84</w:t>
      </w:r>
      <w:r>
        <w:t>条件は不変</w:t>
      </w:r>
      <w:r>
        <w:t>)</w:t>
      </w:r>
      <w:r>
        <w:t>と、本評価で作成した拡張</w:t>
      </w:r>
      <w:r>
        <w:t>14</w:t>
      </w:r>
      <w:r>
        <w:t>問</w:t>
      </w:r>
      <w:r>
        <w:t>×1</w:t>
      </w:r>
      <w:r>
        <w:t>回。各構成で同じ</w:t>
      </w:r>
      <w:r>
        <w:t>34</w:t>
      </w:r>
      <w:r>
        <w:t>回答を集計しました。</w:t>
      </w:r>
      <w:r>
        <w:t>T10</w:t>
      </w:r>
      <w:r>
        <w:t>は</w:t>
      </w:r>
      <w:r>
        <w:t>native</w:t>
      </w:r>
      <w:r>
        <w:t>のコンテンツフィルターで遮断され、回避せず</w:t>
      </w:r>
      <w:r>
        <w:t>FAIL</w:t>
      </w:r>
      <w:r>
        <w:t>として数えています。</w:t>
      </w:r>
      <w:r>
        <w:t>B05</w:t>
      </w:r>
      <w:r>
        <w:t>のモデル照会失敗後の診断再送</w:t>
      </w:r>
      <w:r>
        <w:t>3</w:t>
      </w:r>
      <w:r>
        <w:t>回と</w:t>
      </w:r>
      <w:r>
        <w:t>R1</w:t>
      </w:r>
      <w:r>
        <w:t>の診断</w:t>
      </w:r>
      <w:r>
        <w:t>2</w:t>
      </w:r>
      <w:r>
        <w:t>問は分母に含めていません。</w:t>
      </w:r>
    </w:p>
    <w:p w14:paraId="1000000B" w14:textId="1000000C" w:rsidR="00A17E3C" w:rsidRDefault="00A17E3C">
      <w:r>
        <w:t>P / F / U = PASS / FAIL / UNKNOWN</w:t>
      </w:r>
      <w:r>
        <w:t>。表の値は各構成の全回答であり、異なるラウンドの正答を選び集めていません。</w:t>
      </w:r>
    </w:p>
    <w:tbl>
      <w:tblPr>
        <w:tblStyle w:val="TableGrid"/>
        <w:tblW w:w="0" w:type="auto"/>
        <w:jc w:val="center"/>
        <w:tblLayout w:type="fixed"/>
        <w:tblLook w:val="04A0" w:firstRow="1" w:lastRow="0" w:firstColumn="1" w:lastColumn="0" w:noHBand="0" w:noVBand="1"/>
        <w:tblCaption w:val="表 1"/>
        <w:tblDescription w:val="評価結果 / Measured results"/>
      </w:tblPr>
      <w:tblGrid>
        <w:gridCol w:w="4424"/>
        <w:gridCol w:w="790"/>
        <w:gridCol w:w="2212"/>
        <w:gridCol w:w="2212"/>
      </w:tblGrid>
      <w:tr w:rsidR="00A17E3C" w14:paraId="1000000D" w14:textId="1000000E">
        <w:trPr>
          <w:cantSplit/>
          <w:tblHeader/>
          <w:jc w:val="center"/>
        </w:trPr>
        <w:tc>
          <w:tcPr>
            <w:tcW w:w="4424" w:type="dxa"/>
            <w:shd w:val="clear" w:color="auto" w:fill="174C88"/>
          </w:tcPr>
          <w:p w14:paraId="1000000F" w14:textId="10000010" w:rsidR="00A17E3C" w:rsidRDefault="00A17E3C">
            <w:pPr>
              <w:spacing w:before="20" w:after="20"/>
            </w:pPr>
            <w:r>
              <w:rPr>
                <w:b/>
                <w:color w:val="FFFFFF"/>
                <w:sz w:val="18"/>
              </w:rPr>
              <w:t>構成</w:t>
            </w:r>
            <w:r>
              <w:rPr>
                <w:b/>
                <w:color w:val="FFFFFF"/>
                <w:sz w:val="18"/>
              </w:rPr>
              <w:t xml:space="preserve"> / Configuration</w:t>
            </w:r>
          </w:p>
        </w:tc>
        <w:tc>
          <w:tcPr>
            <w:tcW w:w="790" w:type="dxa"/>
            <w:shd w:val="clear" w:color="auto" w:fill="174C88"/>
          </w:tcPr>
          <w:p w14:paraId="10000011" w14:textId="10000012" w:rsidR="00A17E3C" w:rsidRDefault="00A17E3C">
            <w:pPr>
              <w:spacing w:before="20" w:after="20"/>
            </w:pPr>
            <w:r>
              <w:rPr>
                <w:b/>
                <w:color w:val="FFFFFF"/>
                <w:sz w:val="18"/>
              </w:rPr>
              <w:t>問数</w:t>
            </w:r>
          </w:p>
        </w:tc>
        <w:tc>
          <w:tcPr>
            <w:tcW w:w="2212" w:type="dxa"/>
            <w:shd w:val="clear" w:color="auto" w:fill="174C88"/>
          </w:tcPr>
          <w:p w14:paraId="10000013" w14:textId="10000014" w:rsidR="00A17E3C" w:rsidRDefault="00A17E3C">
            <w:pPr>
              <w:spacing w:before="20" w:after="20"/>
            </w:pPr>
            <w:r>
              <w:rPr>
                <w:b/>
                <w:color w:val="FFFFFF"/>
                <w:sz w:val="18"/>
              </w:rPr>
              <w:t>事実</w:t>
            </w:r>
            <w:r>
              <w:rPr>
                <w:b/>
                <w:color w:val="FFFFFF"/>
                <w:sz w:val="18"/>
              </w:rPr>
              <w:t xml:space="preserve"> P / F / U</w:t>
            </w:r>
          </w:p>
        </w:tc>
        <w:tc>
          <w:tcPr>
            <w:tcW w:w="2212" w:type="dxa"/>
            <w:shd w:val="clear" w:color="auto" w:fill="174C88"/>
          </w:tcPr>
          <w:p w14:paraId="10000015" w14:textId="10000016" w:rsidR="00A17E3C" w:rsidRDefault="00A17E3C">
            <w:pPr>
              <w:spacing w:before="20" w:after="20"/>
            </w:pPr>
            <w:r>
              <w:rPr>
                <w:b/>
                <w:color w:val="FFFFFF"/>
                <w:sz w:val="18"/>
              </w:rPr>
              <w:t>内容</w:t>
            </w:r>
            <w:r>
              <w:rPr>
                <w:b/>
                <w:color w:val="FFFFFF"/>
                <w:sz w:val="18"/>
              </w:rPr>
              <w:t xml:space="preserve"> P / F / U</w:t>
            </w:r>
          </w:p>
        </w:tc>
      </w:tr>
      <w:tr w:rsidR="00A17E3C" w14:paraId="10000017" w14:textId="10000018">
        <w:trPr>
          <w:cantSplit/>
          <w:jc w:val="center"/>
        </w:trPr>
        <w:tc>
          <w:tcPr>
            <w:tcW w:w="4424" w:type="dxa"/>
          </w:tcPr>
          <w:p w14:paraId="10000019" w14:textId="1000001A" w:rsidR="00A17E3C" w:rsidRDefault="00A17E3C">
            <w:pPr>
              <w:spacing w:before="20" w:after="20" w:line="252" w:lineRule="auto"/>
            </w:pPr>
            <w:r>
              <w:rPr>
                <w:sz w:val="18"/>
              </w:rPr>
              <w:t xml:space="preserve">R1 </w:t>
            </w:r>
            <w:r>
              <w:rPr>
                <w:sz w:val="18"/>
              </w:rPr>
              <w:t>デプロイ直後</w:t>
            </w:r>
            <w:r>
              <w:rPr>
                <w:sz w:val="18"/>
              </w:rPr>
              <w:t xml:space="preserve"> / As deployed (time-layer-isolation)</w:t>
            </w:r>
          </w:p>
        </w:tc>
        <w:tc>
          <w:tcPr>
            <w:tcW w:w="790" w:type="dxa"/>
          </w:tcPr>
          <w:p w14:paraId="1000001B" w14:textId="1000001C" w:rsidR="00A17E3C" w:rsidRDefault="00A17E3C">
            <w:pPr>
              <w:spacing w:before="20" w:after="20" w:line="252" w:lineRule="auto"/>
            </w:pPr>
            <w:r>
              <w:rPr>
                <w:sz w:val="18"/>
              </w:rPr>
              <w:t>34</w:t>
            </w:r>
          </w:p>
        </w:tc>
        <w:tc>
          <w:tcPr>
            <w:tcW w:w="2212" w:type="dxa"/>
          </w:tcPr>
          <w:p w14:paraId="1000001D" w14:textId="1000001E" w:rsidR="00A17E3C" w:rsidRDefault="00A17E3C">
            <w:pPr>
              <w:spacing w:before="20" w:after="20" w:line="252" w:lineRule="auto"/>
            </w:pPr>
            <w:r>
              <w:rPr>
                <w:sz w:val="18"/>
              </w:rPr>
              <w:t>20 / 14 / 0</w:t>
            </w:r>
          </w:p>
        </w:tc>
        <w:tc>
          <w:tcPr>
            <w:tcW w:w="2212" w:type="dxa"/>
          </w:tcPr>
          <w:p w14:paraId="1000001F" w14:textId="10000020" w:rsidR="00A17E3C" w:rsidRDefault="00A17E3C">
            <w:pPr>
              <w:spacing w:before="20" w:after="20" w:line="252" w:lineRule="auto"/>
            </w:pPr>
            <w:r>
              <w:rPr>
                <w:sz w:val="18"/>
              </w:rPr>
              <w:t>10 / 24 / 0</w:t>
            </w:r>
          </w:p>
        </w:tc>
      </w:tr>
      <w:tr w:rsidR="00A17E3C" w14:paraId="10000021" w14:textId="10000022">
        <w:trPr>
          <w:cantSplit/>
          <w:jc w:val="center"/>
        </w:trPr>
        <w:tc>
          <w:tcPr>
            <w:tcW w:w="4424" w:type="dxa"/>
            <w:shd w:val="clear" w:color="auto" w:fill="EEF3F9"/>
          </w:tcPr>
          <w:p w14:paraId="10000023" w14:textId="10000024" w:rsidR="00A17E3C" w:rsidRDefault="00A17E3C">
            <w:pPr>
              <w:spacing w:before="20" w:after="20" w:line="252" w:lineRule="auto"/>
            </w:pPr>
            <w:r>
              <w:rPr>
                <w:sz w:val="18"/>
              </w:rPr>
              <w:t xml:space="preserve">R2 </w:t>
            </w:r>
            <w:r>
              <w:rPr>
                <w:sz w:val="18"/>
              </w:rPr>
              <w:t>標準契約の復元</w:t>
            </w:r>
            <w:r>
              <w:rPr>
                <w:sz w:val="18"/>
              </w:rPr>
              <w:t xml:space="preserve"> / Restored standard contracts</w:t>
            </w:r>
          </w:p>
        </w:tc>
        <w:tc>
          <w:tcPr>
            <w:tcW w:w="790" w:type="dxa"/>
            <w:shd w:val="clear" w:color="auto" w:fill="EEF3F9"/>
          </w:tcPr>
          <w:p w14:paraId="10000025" w14:textId="10000026" w:rsidR="00A17E3C" w:rsidRDefault="00A17E3C">
            <w:pPr>
              <w:spacing w:before="20" w:after="20" w:line="252" w:lineRule="auto"/>
            </w:pPr>
            <w:r>
              <w:rPr>
                <w:sz w:val="18"/>
              </w:rPr>
              <w:t>34</w:t>
            </w:r>
          </w:p>
        </w:tc>
        <w:tc>
          <w:tcPr>
            <w:tcW w:w="2212" w:type="dxa"/>
            <w:shd w:val="clear" w:color="auto" w:fill="EEF3F9"/>
          </w:tcPr>
          <w:p w14:paraId="10000027" w14:textId="10000028" w:rsidR="00A17E3C" w:rsidRDefault="00A17E3C">
            <w:pPr>
              <w:spacing w:before="20" w:after="20" w:line="252" w:lineRule="auto"/>
            </w:pPr>
            <w:r>
              <w:rPr>
                <w:sz w:val="18"/>
              </w:rPr>
              <w:t>29 / 5 / 0</w:t>
            </w:r>
          </w:p>
        </w:tc>
        <w:tc>
          <w:tcPr>
            <w:tcW w:w="2212" w:type="dxa"/>
            <w:shd w:val="clear" w:color="auto" w:fill="EEF3F9"/>
          </w:tcPr>
          <w:p w14:paraId="10000029" w14:textId="1000002A" w:rsidR="00A17E3C" w:rsidRDefault="00A17E3C">
            <w:pPr>
              <w:spacing w:before="20" w:after="20" w:line="252" w:lineRule="auto"/>
            </w:pPr>
            <w:r>
              <w:rPr>
                <w:sz w:val="18"/>
              </w:rPr>
              <w:t>20 / 14 / 0</w:t>
            </w:r>
          </w:p>
        </w:tc>
      </w:tr>
      <w:tr w:rsidR="00A17E3C" w14:paraId="1000002B" w14:textId="1000002C">
        <w:trPr>
          <w:cantSplit/>
          <w:jc w:val="center"/>
        </w:trPr>
        <w:tc>
          <w:tcPr>
            <w:tcW w:w="4424" w:type="dxa"/>
          </w:tcPr>
          <w:p w14:paraId="1000002D" w14:textId="1000002E" w:rsidR="00A17E3C" w:rsidRDefault="00A17E3C">
            <w:pPr>
              <w:spacing w:before="20" w:after="20" w:line="252" w:lineRule="auto"/>
            </w:pPr>
            <w:r>
              <w:rPr>
                <w:sz w:val="18"/>
              </w:rPr>
              <w:t xml:space="preserve">R3 </w:t>
            </w:r>
            <w:r>
              <w:rPr>
                <w:sz w:val="18"/>
              </w:rPr>
              <w:t>根拠行・数値と説明の忠実性</w:t>
            </w:r>
            <w:r>
              <w:rPr>
                <w:sz w:val="18"/>
              </w:rPr>
              <w:t xml:space="preserve"> / Evidence lines and fidelity</w:t>
            </w:r>
          </w:p>
        </w:tc>
        <w:tc>
          <w:tcPr>
            <w:tcW w:w="790" w:type="dxa"/>
          </w:tcPr>
          <w:p w14:paraId="1000002F" w14:textId="10000030" w:rsidR="00A17E3C" w:rsidRDefault="00A17E3C">
            <w:pPr>
              <w:spacing w:before="20" w:after="20" w:line="252" w:lineRule="auto"/>
            </w:pPr>
            <w:r>
              <w:rPr>
                <w:sz w:val="18"/>
              </w:rPr>
              <w:t>34</w:t>
            </w:r>
          </w:p>
        </w:tc>
        <w:tc>
          <w:tcPr>
            <w:tcW w:w="2212" w:type="dxa"/>
          </w:tcPr>
          <w:p w14:paraId="10000031" w14:textId="10000032" w:rsidR="00A17E3C" w:rsidRDefault="00A17E3C">
            <w:pPr>
              <w:spacing w:before="20" w:after="20" w:line="252" w:lineRule="auto"/>
            </w:pPr>
            <w:r>
              <w:rPr>
                <w:sz w:val="18"/>
              </w:rPr>
              <w:t>30 / 4 / 0</w:t>
            </w:r>
          </w:p>
        </w:tc>
        <w:tc>
          <w:tcPr>
            <w:tcW w:w="2212" w:type="dxa"/>
          </w:tcPr>
          <w:p w14:paraId="10000033" w14:textId="10000034" w:rsidR="00A17E3C" w:rsidRDefault="00A17E3C">
            <w:pPr>
              <w:spacing w:before="20" w:after="20" w:line="252" w:lineRule="auto"/>
            </w:pPr>
            <w:r>
              <w:rPr>
                <w:sz w:val="18"/>
              </w:rPr>
              <w:t>23 / 11 / 0</w:t>
            </w:r>
          </w:p>
        </w:tc>
      </w:tr>
      <w:tr w:rsidR="00A17E3C" w14:paraId="10000035" w14:textId="10000036">
        <w:trPr>
          <w:cantSplit/>
          <w:jc w:val="center"/>
        </w:trPr>
        <w:tc>
          <w:tcPr>
            <w:tcW w:w="4424" w:type="dxa"/>
            <w:shd w:val="clear" w:color="auto" w:fill="EEF3F9"/>
          </w:tcPr>
          <w:p w14:paraId="10000037" w14:textId="10000038" w:rsidR="00A17E3C" w:rsidRDefault="00A17E3C">
            <w:pPr>
              <w:spacing w:before="20" w:after="20" w:line="252" w:lineRule="auto"/>
            </w:pPr>
            <w:r>
              <w:rPr>
                <w:sz w:val="18"/>
              </w:rPr>
              <w:t xml:space="preserve">R4 </w:t>
            </w:r>
            <w:r>
              <w:rPr>
                <w:sz w:val="18"/>
              </w:rPr>
              <w:t>固定出力行・</w:t>
            </w:r>
            <w:r>
              <w:rPr>
                <w:sz w:val="18"/>
              </w:rPr>
              <w:t>3</w:t>
            </w:r>
            <w:r>
              <w:rPr>
                <w:sz w:val="18"/>
              </w:rPr>
              <w:t>ソース手順</w:t>
            </w:r>
            <w:r>
              <w:rPr>
                <w:sz w:val="18"/>
              </w:rPr>
              <w:t xml:space="preserve"> / Literal lines, three-source steps</w:t>
            </w:r>
          </w:p>
        </w:tc>
        <w:tc>
          <w:tcPr>
            <w:tcW w:w="790" w:type="dxa"/>
            <w:shd w:val="clear" w:color="auto" w:fill="EEF3F9"/>
          </w:tcPr>
          <w:p w14:paraId="10000039" w14:textId="1000003A" w:rsidR="00A17E3C" w:rsidRDefault="00A17E3C">
            <w:pPr>
              <w:spacing w:before="20" w:after="20" w:line="252" w:lineRule="auto"/>
            </w:pPr>
            <w:r>
              <w:rPr>
                <w:sz w:val="18"/>
              </w:rPr>
              <w:t>34</w:t>
            </w:r>
          </w:p>
        </w:tc>
        <w:tc>
          <w:tcPr>
            <w:tcW w:w="2212" w:type="dxa"/>
            <w:shd w:val="clear" w:color="auto" w:fill="EEF3F9"/>
          </w:tcPr>
          <w:p w14:paraId="1000003B" w14:textId="1000003C" w:rsidR="00A17E3C" w:rsidRDefault="00A17E3C">
            <w:pPr>
              <w:spacing w:before="20" w:after="20" w:line="252" w:lineRule="auto"/>
            </w:pPr>
            <w:r>
              <w:rPr>
                <w:sz w:val="18"/>
              </w:rPr>
              <w:t>32 / 2 / 0</w:t>
            </w:r>
          </w:p>
        </w:tc>
        <w:tc>
          <w:tcPr>
            <w:tcW w:w="2212" w:type="dxa"/>
            <w:shd w:val="clear" w:color="auto" w:fill="EEF3F9"/>
          </w:tcPr>
          <w:p w14:paraId="1000003D" w14:textId="1000003E" w:rsidR="00A17E3C" w:rsidRDefault="00A17E3C">
            <w:pPr>
              <w:spacing w:before="20" w:after="20" w:line="252" w:lineRule="auto"/>
            </w:pPr>
            <w:r>
              <w:rPr>
                <w:sz w:val="18"/>
              </w:rPr>
              <w:t>27 / 7 / 0</w:t>
            </w:r>
          </w:p>
        </w:tc>
      </w:tr>
      <w:tr w:rsidR="00A17E3C" w14:paraId="1000003F" w14:textId="10000040">
        <w:trPr>
          <w:cantSplit/>
          <w:jc w:val="center"/>
        </w:trPr>
        <w:tc>
          <w:tcPr>
            <w:tcW w:w="4424" w:type="dxa"/>
          </w:tcPr>
          <w:p w14:paraId="10000041" w14:textId="10000042" w:rsidR="00A17E3C" w:rsidRDefault="00A17E3C">
            <w:pPr>
              <w:spacing w:before="20" w:after="20" w:line="252" w:lineRule="auto"/>
            </w:pPr>
            <w:r>
              <w:rPr>
                <w:sz w:val="18"/>
              </w:rPr>
              <w:t xml:space="preserve">R5 </w:t>
            </w:r>
            <w:r>
              <w:rPr>
                <w:sz w:val="18"/>
              </w:rPr>
              <w:t>合算拒否・比較の回答形式</w:t>
            </w:r>
            <w:r>
              <w:rPr>
                <w:sz w:val="18"/>
              </w:rPr>
              <w:t xml:space="preserve"> / Fixed refusal and comparison forms</w:t>
            </w:r>
          </w:p>
        </w:tc>
        <w:tc>
          <w:tcPr>
            <w:tcW w:w="790" w:type="dxa"/>
          </w:tcPr>
          <w:p w14:paraId="10000043" w14:textId="10000044" w:rsidR="00A17E3C" w:rsidRDefault="00A17E3C">
            <w:pPr>
              <w:spacing w:before="20" w:after="20" w:line="252" w:lineRule="auto"/>
            </w:pPr>
            <w:r>
              <w:rPr>
                <w:sz w:val="18"/>
              </w:rPr>
              <w:t>34</w:t>
            </w:r>
          </w:p>
        </w:tc>
        <w:tc>
          <w:tcPr>
            <w:tcW w:w="2212" w:type="dxa"/>
          </w:tcPr>
          <w:p w14:paraId="10000045" w14:textId="10000046" w:rsidR="00A17E3C" w:rsidRDefault="00A17E3C">
            <w:pPr>
              <w:spacing w:before="20" w:after="20" w:line="252" w:lineRule="auto"/>
            </w:pPr>
            <w:r>
              <w:rPr>
                <w:sz w:val="18"/>
              </w:rPr>
              <w:t>29 / 5 / 0</w:t>
            </w:r>
          </w:p>
        </w:tc>
        <w:tc>
          <w:tcPr>
            <w:tcW w:w="2212" w:type="dxa"/>
          </w:tcPr>
          <w:p w14:paraId="10000047" w14:textId="10000048" w:rsidR="00A17E3C" w:rsidRDefault="00A17E3C">
            <w:pPr>
              <w:spacing w:before="20" w:after="20" w:line="252" w:lineRule="auto"/>
            </w:pPr>
            <w:r>
              <w:rPr>
                <w:sz w:val="18"/>
              </w:rPr>
              <w:t>27 / 7 / 0</w:t>
            </w:r>
          </w:p>
        </w:tc>
      </w:tr>
      <w:tr w:rsidR="00A17E3C" w14:paraId="10000049" w14:textId="1000004A">
        <w:trPr>
          <w:cantSplit/>
          <w:jc w:val="center"/>
        </w:trPr>
        <w:tc>
          <w:tcPr>
            <w:tcW w:w="4424" w:type="dxa"/>
            <w:shd w:val="clear" w:color="auto" w:fill="EEF3F9"/>
          </w:tcPr>
          <w:p w14:paraId="1000004B" w14:textId="1000004C" w:rsidR="00A17E3C" w:rsidRDefault="00A17E3C">
            <w:pPr>
              <w:keepNext/>
              <w:spacing w:before="20" w:after="20" w:line="252" w:lineRule="auto"/>
            </w:pPr>
            <w:r>
              <w:rPr>
                <w:sz w:val="18"/>
              </w:rPr>
              <w:t xml:space="preserve">R6 </w:t>
            </w:r>
            <w:r>
              <w:rPr>
                <w:sz w:val="18"/>
              </w:rPr>
              <w:t>名前照合・単一集計</w:t>
            </w:r>
            <w:r>
              <w:rPr>
                <w:sz w:val="18"/>
              </w:rPr>
              <w:t>(</w:t>
            </w:r>
            <w:r>
              <w:rPr>
                <w:sz w:val="18"/>
              </w:rPr>
              <w:t>採用</w:t>
            </w:r>
            <w:r>
              <w:rPr>
                <w:sz w:val="18"/>
              </w:rPr>
              <w:t>) / Name matching, single aggregation (adopted)</w:t>
            </w:r>
          </w:p>
        </w:tc>
        <w:tc>
          <w:tcPr>
            <w:tcW w:w="790" w:type="dxa"/>
            <w:shd w:val="clear" w:color="auto" w:fill="EEF3F9"/>
          </w:tcPr>
          <w:p w14:paraId="1000004D" w14:textId="1000004E" w:rsidR="00A17E3C" w:rsidRDefault="00A17E3C">
            <w:pPr>
              <w:keepNext/>
              <w:spacing w:before="20" w:after="20" w:line="252" w:lineRule="auto"/>
            </w:pPr>
            <w:r>
              <w:rPr>
                <w:sz w:val="18"/>
              </w:rPr>
              <w:t>34</w:t>
            </w:r>
          </w:p>
        </w:tc>
        <w:tc>
          <w:tcPr>
            <w:tcW w:w="2212" w:type="dxa"/>
            <w:shd w:val="clear" w:color="auto" w:fill="EEF3F9"/>
          </w:tcPr>
          <w:p w14:paraId="1000004F" w14:textId="10000050" w:rsidR="00A17E3C" w:rsidRDefault="00A17E3C">
            <w:pPr>
              <w:keepNext/>
              <w:spacing w:before="20" w:after="20" w:line="252" w:lineRule="auto"/>
            </w:pPr>
            <w:r>
              <w:rPr>
                <w:sz w:val="18"/>
              </w:rPr>
              <w:t>32 / 2 / 0</w:t>
            </w:r>
          </w:p>
        </w:tc>
        <w:tc>
          <w:tcPr>
            <w:tcW w:w="2212" w:type="dxa"/>
            <w:shd w:val="clear" w:color="auto" w:fill="EEF3F9"/>
          </w:tcPr>
          <w:p w14:paraId="10000051" w14:textId="10000052" w:rsidR="00A17E3C" w:rsidRDefault="00A17E3C">
            <w:pPr>
              <w:keepNext/>
              <w:spacing w:before="20" w:after="20" w:line="252" w:lineRule="auto"/>
            </w:pPr>
            <w:r>
              <w:rPr>
                <w:sz w:val="18"/>
              </w:rPr>
              <w:t>27 / 7 / 0</w:t>
            </w:r>
          </w:p>
        </w:tc>
      </w:tr>
    </w:tbl>
    <w:p w14:paraId="10000053" w14:textId="10000054" w:rsidR="00A17E3C" w:rsidRDefault="00A17E3C">
      <w:pPr>
        <w:pStyle w:val="Caption"/>
        <w:spacing w:before="40" w:after="200"/>
      </w:pPr>
      <w:r>
        <w:rPr>
          <w:sz w:val="17"/>
        </w:rPr>
        <w:t>表</w:t>
      </w:r>
      <w:r>
        <w:rPr>
          <w:sz w:val="17"/>
        </w:rPr>
        <w:t xml:space="preserve"> 1</w:t>
      </w:r>
      <w:r>
        <w:rPr>
          <w:sz w:val="17"/>
        </w:rPr>
        <w:t xml:space="preserve">　評価結果</w:t>
      </w:r>
      <w:r>
        <w:rPr>
          <w:sz w:val="17"/>
        </w:rPr>
        <w:t xml:space="preserve"> / Measured results</w:t>
      </w:r>
    </w:p>
    <w:p w14:paraId="10000055" w14:textId="10000056" w:rsidR="00A17E3C" w:rsidRDefault="00A17E3C">
      <w:pPr>
        <w:pStyle w:val="Heading1"/>
        <w:pBdr>
          <w:bottom w:val="single" w:sz="6" w:space="0" w:color="D0D7DE"/>
        </w:pBdr>
        <w:spacing w:before="520" w:after="120"/>
      </w:pPr>
      <w:r>
        <w:t>標準</w:t>
      </w:r>
      <w:r>
        <w:t>10</w:t>
      </w:r>
      <w:r>
        <w:t>問・</w:t>
      </w:r>
      <w:r>
        <w:t>84</w:t>
      </w:r>
      <w:r>
        <w:t>条件</w:t>
      </w:r>
      <w:r>
        <w:t xml:space="preserve"> / Standard ten, 84 conditions</w:t>
      </w:r>
    </w:p>
    <w:p w14:paraId="10000057" w14:textId="10000058" w:rsidR="00A17E3C" w:rsidRDefault="00A17E3C">
      <w:r>
        <w:t>保護された元</w:t>
      </w:r>
      <w:r>
        <w:t>10</w:t>
      </w:r>
      <w:r>
        <w:t>問・</w:t>
      </w:r>
      <w:r>
        <w:t>84</w:t>
      </w:r>
      <w:r>
        <w:t>条件を各構成</w:t>
      </w:r>
      <w:r>
        <w:t>2</w:t>
      </w:r>
      <w:r>
        <w:t>回評価しました。</w:t>
      </w:r>
      <w:r>
        <w:t>T10</w:t>
      </w:r>
      <w:r>
        <w:t>は</w:t>
      </w:r>
      <w:r>
        <w:t>native</w:t>
      </w:r>
      <w:r>
        <w:t>のコンテンツフィルターで遮断されるため</w:t>
      </w:r>
      <w:r>
        <w:t>0/7</w:t>
      </w:r>
      <w:r>
        <w:t>で、到達可能な上限は</w:t>
      </w:r>
      <w:r>
        <w:t>77</w:t>
      </w:r>
      <w:r>
        <w:t>です。</w:t>
      </w:r>
      <w:r>
        <w:t>3.0.0 release</w:t>
      </w:r>
      <w:r>
        <w:t>時の記録は</w:t>
      </w:r>
      <w:r>
        <w:t>76/84(T10 0/7)</w:t>
      </w:r>
      <w:r>
        <w:t>でした。</w:t>
      </w:r>
    </w:p>
    <w:p w14:paraId="10000059" w14:textId="1000005A" w:rsidR="00A17E3C" w:rsidRDefault="00A17E3C">
      <w:r>
        <w:t>The protected original ten questions/84 conditions were evaluated twice per configuration. T10 is stopped by the native content filter and scores 0/7, so the attainable ceiling is 77. The 3.0.0 release recorded 76/84.</w:t>
      </w:r>
    </w:p>
    <w:tbl>
      <w:tblPr>
        <w:tblStyle w:val="TableGrid"/>
        <w:tblW w:w="0" w:type="auto"/>
        <w:jc w:val="center"/>
        <w:tblLayout w:type="fixed"/>
        <w:tblLook w:val="04A0" w:firstRow="1" w:lastRow="0" w:firstColumn="1" w:lastColumn="0" w:noHBand="0" w:noVBand="1"/>
        <w:tblCaption w:val="表 2"/>
        <w:tblDescription w:val="標準10問・84条件 / Standard ten, 84 conditions"/>
      </w:tblPr>
      <w:tblGrid>
        <w:gridCol w:w="5285"/>
        <w:gridCol w:w="2176"/>
        <w:gridCol w:w="2176"/>
      </w:tblGrid>
      <w:tr w:rsidR="00A17E3C" w14:paraId="1000005B" w14:textId="1000005C">
        <w:trPr>
          <w:cantSplit/>
          <w:tblHeader/>
          <w:jc w:val="center"/>
        </w:trPr>
        <w:tc>
          <w:tcPr>
            <w:tcW w:w="5285" w:type="dxa"/>
            <w:shd w:val="clear" w:color="auto" w:fill="174C88"/>
          </w:tcPr>
          <w:p w14:paraId="1000005D" w14:textId="1000005E" w:rsidR="00A17E3C" w:rsidRDefault="00A17E3C">
            <w:pPr>
              <w:spacing w:before="20" w:after="20"/>
            </w:pPr>
            <w:r>
              <w:rPr>
                <w:b/>
                <w:color w:val="FFFFFF"/>
                <w:sz w:val="18"/>
              </w:rPr>
              <w:lastRenderedPageBreak/>
              <w:t>構成</w:t>
            </w:r>
            <w:r>
              <w:rPr>
                <w:b/>
                <w:color w:val="FFFFFF"/>
                <w:sz w:val="18"/>
              </w:rPr>
              <w:t xml:space="preserve"> / Configuration</w:t>
            </w:r>
          </w:p>
        </w:tc>
        <w:tc>
          <w:tcPr>
            <w:tcW w:w="2176" w:type="dxa"/>
            <w:shd w:val="clear" w:color="auto" w:fill="174C88"/>
          </w:tcPr>
          <w:p w14:paraId="1000005F" w14:textId="10000060" w:rsidR="00A17E3C" w:rsidRDefault="00A17E3C">
            <w:pPr>
              <w:spacing w:before="20" w:after="20"/>
            </w:pPr>
            <w:r>
              <w:rPr>
                <w:b/>
                <w:color w:val="FFFFFF"/>
                <w:sz w:val="18"/>
              </w:rPr>
              <w:t>1</w:t>
            </w:r>
            <w:r>
              <w:rPr>
                <w:b/>
                <w:color w:val="FFFFFF"/>
                <w:sz w:val="18"/>
              </w:rPr>
              <w:t>回目</w:t>
            </w:r>
            <w:r>
              <w:rPr>
                <w:b/>
                <w:color w:val="FFFFFF"/>
                <w:sz w:val="18"/>
              </w:rPr>
              <w:t xml:space="preserve"> / Run 1</w:t>
            </w:r>
          </w:p>
        </w:tc>
        <w:tc>
          <w:tcPr>
            <w:tcW w:w="2176" w:type="dxa"/>
            <w:shd w:val="clear" w:color="auto" w:fill="174C88"/>
          </w:tcPr>
          <w:p w14:paraId="10000061" w14:textId="10000062" w:rsidR="00A17E3C" w:rsidRDefault="00A17E3C">
            <w:pPr>
              <w:spacing w:before="20" w:after="20"/>
            </w:pPr>
            <w:r>
              <w:rPr>
                <w:b/>
                <w:color w:val="FFFFFF"/>
                <w:sz w:val="18"/>
              </w:rPr>
              <w:t>2</w:t>
            </w:r>
            <w:r>
              <w:rPr>
                <w:b/>
                <w:color w:val="FFFFFF"/>
                <w:sz w:val="18"/>
              </w:rPr>
              <w:t>回目</w:t>
            </w:r>
            <w:r>
              <w:rPr>
                <w:b/>
                <w:color w:val="FFFFFF"/>
                <w:sz w:val="18"/>
              </w:rPr>
              <w:t xml:space="preserve"> / Run 2</w:t>
            </w:r>
          </w:p>
        </w:tc>
      </w:tr>
      <w:tr w:rsidR="00A17E3C" w14:paraId="10000063" w14:textId="10000064">
        <w:trPr>
          <w:cantSplit/>
          <w:jc w:val="center"/>
        </w:trPr>
        <w:tc>
          <w:tcPr>
            <w:tcW w:w="5285" w:type="dxa"/>
          </w:tcPr>
          <w:p w14:paraId="10000065" w14:textId="10000066" w:rsidR="00A17E3C" w:rsidRDefault="00A17E3C">
            <w:pPr>
              <w:spacing w:before="20" w:after="20" w:line="252" w:lineRule="auto"/>
            </w:pPr>
            <w:r>
              <w:rPr>
                <w:sz w:val="18"/>
              </w:rPr>
              <w:t xml:space="preserve">R1 </w:t>
            </w:r>
            <w:r>
              <w:rPr>
                <w:sz w:val="18"/>
              </w:rPr>
              <w:t>デプロイ直後</w:t>
            </w:r>
            <w:r>
              <w:rPr>
                <w:sz w:val="18"/>
              </w:rPr>
              <w:t xml:space="preserve"> / As deployed (time-layer-isolation)</w:t>
            </w:r>
          </w:p>
        </w:tc>
        <w:tc>
          <w:tcPr>
            <w:tcW w:w="2176" w:type="dxa"/>
          </w:tcPr>
          <w:p w14:paraId="10000067" w14:textId="10000068" w:rsidR="00A17E3C" w:rsidRDefault="00A17E3C">
            <w:pPr>
              <w:spacing w:before="20" w:after="20" w:line="252" w:lineRule="auto"/>
            </w:pPr>
            <w:r>
              <w:rPr>
                <w:sz w:val="18"/>
              </w:rPr>
              <w:t>36/84</w:t>
            </w:r>
          </w:p>
        </w:tc>
        <w:tc>
          <w:tcPr>
            <w:tcW w:w="2176" w:type="dxa"/>
          </w:tcPr>
          <w:p w14:paraId="10000069" w14:textId="1000006A" w:rsidR="00A17E3C" w:rsidRDefault="00A17E3C">
            <w:pPr>
              <w:spacing w:before="20" w:after="20" w:line="252" w:lineRule="auto"/>
            </w:pPr>
            <w:r>
              <w:rPr>
                <w:sz w:val="18"/>
              </w:rPr>
              <w:t>34/84</w:t>
            </w:r>
          </w:p>
        </w:tc>
      </w:tr>
      <w:tr w:rsidR="00A17E3C" w14:paraId="1000006B" w14:textId="1000006C">
        <w:trPr>
          <w:cantSplit/>
          <w:jc w:val="center"/>
        </w:trPr>
        <w:tc>
          <w:tcPr>
            <w:tcW w:w="5285" w:type="dxa"/>
            <w:shd w:val="clear" w:color="auto" w:fill="EEF3F9"/>
          </w:tcPr>
          <w:p w14:paraId="1000006D" w14:textId="1000006E" w:rsidR="00A17E3C" w:rsidRDefault="00A17E3C">
            <w:pPr>
              <w:spacing w:before="20" w:after="20" w:line="252" w:lineRule="auto"/>
            </w:pPr>
            <w:r>
              <w:rPr>
                <w:sz w:val="18"/>
              </w:rPr>
              <w:t xml:space="preserve">R2 </w:t>
            </w:r>
            <w:r>
              <w:rPr>
                <w:sz w:val="18"/>
              </w:rPr>
              <w:t>標準契約の復元</w:t>
            </w:r>
            <w:r>
              <w:rPr>
                <w:sz w:val="18"/>
              </w:rPr>
              <w:t xml:space="preserve"> / Restored standard contracts</w:t>
            </w:r>
          </w:p>
        </w:tc>
        <w:tc>
          <w:tcPr>
            <w:tcW w:w="2176" w:type="dxa"/>
            <w:shd w:val="clear" w:color="auto" w:fill="EEF3F9"/>
          </w:tcPr>
          <w:p w14:paraId="1000006F" w14:textId="10000070" w:rsidR="00A17E3C" w:rsidRDefault="00A17E3C">
            <w:pPr>
              <w:spacing w:before="20" w:after="20" w:line="252" w:lineRule="auto"/>
            </w:pPr>
            <w:r>
              <w:rPr>
                <w:sz w:val="18"/>
              </w:rPr>
              <w:t>67/84</w:t>
            </w:r>
          </w:p>
        </w:tc>
        <w:tc>
          <w:tcPr>
            <w:tcW w:w="2176" w:type="dxa"/>
            <w:shd w:val="clear" w:color="auto" w:fill="EEF3F9"/>
          </w:tcPr>
          <w:p w14:paraId="10000071" w14:textId="10000072" w:rsidR="00A17E3C" w:rsidRDefault="00A17E3C">
            <w:pPr>
              <w:spacing w:before="20" w:after="20" w:line="252" w:lineRule="auto"/>
            </w:pPr>
            <w:r>
              <w:rPr>
                <w:sz w:val="18"/>
              </w:rPr>
              <w:t>65/84</w:t>
            </w:r>
          </w:p>
        </w:tc>
      </w:tr>
      <w:tr w:rsidR="00A17E3C" w14:paraId="10000073" w14:textId="10000074">
        <w:trPr>
          <w:cantSplit/>
          <w:jc w:val="center"/>
        </w:trPr>
        <w:tc>
          <w:tcPr>
            <w:tcW w:w="5285" w:type="dxa"/>
          </w:tcPr>
          <w:p w14:paraId="10000075" w14:textId="10000076" w:rsidR="00A17E3C" w:rsidRDefault="00A17E3C">
            <w:pPr>
              <w:spacing w:before="20" w:after="20" w:line="252" w:lineRule="auto"/>
            </w:pPr>
            <w:r>
              <w:rPr>
                <w:sz w:val="18"/>
              </w:rPr>
              <w:t xml:space="preserve">R3 </w:t>
            </w:r>
            <w:r>
              <w:rPr>
                <w:sz w:val="18"/>
              </w:rPr>
              <w:t>根拠行・数値と説明の忠実性</w:t>
            </w:r>
            <w:r>
              <w:rPr>
                <w:sz w:val="18"/>
              </w:rPr>
              <w:t xml:space="preserve"> / Evidence lines and fidelity</w:t>
            </w:r>
          </w:p>
        </w:tc>
        <w:tc>
          <w:tcPr>
            <w:tcW w:w="2176" w:type="dxa"/>
          </w:tcPr>
          <w:p w14:paraId="10000077" w14:textId="10000078" w:rsidR="00A17E3C" w:rsidRDefault="00A17E3C">
            <w:pPr>
              <w:spacing w:before="20" w:after="20" w:line="252" w:lineRule="auto"/>
            </w:pPr>
            <w:r>
              <w:rPr>
                <w:sz w:val="18"/>
              </w:rPr>
              <w:t>72/84</w:t>
            </w:r>
          </w:p>
        </w:tc>
        <w:tc>
          <w:tcPr>
            <w:tcW w:w="2176" w:type="dxa"/>
          </w:tcPr>
          <w:p w14:paraId="10000079" w14:textId="1000007A" w:rsidR="00A17E3C" w:rsidRDefault="00A17E3C">
            <w:pPr>
              <w:spacing w:before="20" w:after="20" w:line="252" w:lineRule="auto"/>
            </w:pPr>
            <w:r>
              <w:rPr>
                <w:sz w:val="18"/>
              </w:rPr>
              <w:t>68/84</w:t>
            </w:r>
          </w:p>
        </w:tc>
      </w:tr>
      <w:tr w:rsidR="00A17E3C" w14:paraId="1000007B" w14:textId="1000007C">
        <w:trPr>
          <w:cantSplit/>
          <w:jc w:val="center"/>
        </w:trPr>
        <w:tc>
          <w:tcPr>
            <w:tcW w:w="5285" w:type="dxa"/>
            <w:shd w:val="clear" w:color="auto" w:fill="EEF3F9"/>
          </w:tcPr>
          <w:p w14:paraId="1000007D" w14:textId="1000007E" w:rsidR="00A17E3C" w:rsidRDefault="00A17E3C">
            <w:pPr>
              <w:spacing w:before="20" w:after="20" w:line="252" w:lineRule="auto"/>
            </w:pPr>
            <w:r>
              <w:rPr>
                <w:sz w:val="18"/>
              </w:rPr>
              <w:t xml:space="preserve">R4 </w:t>
            </w:r>
            <w:r>
              <w:rPr>
                <w:sz w:val="18"/>
              </w:rPr>
              <w:t>固定出力行・</w:t>
            </w:r>
            <w:r>
              <w:rPr>
                <w:sz w:val="18"/>
              </w:rPr>
              <w:t>3</w:t>
            </w:r>
            <w:r>
              <w:rPr>
                <w:sz w:val="18"/>
              </w:rPr>
              <w:t>ソース手順</w:t>
            </w:r>
            <w:r>
              <w:rPr>
                <w:sz w:val="18"/>
              </w:rPr>
              <w:t xml:space="preserve"> / Literal lines, three-source steps</w:t>
            </w:r>
          </w:p>
        </w:tc>
        <w:tc>
          <w:tcPr>
            <w:tcW w:w="2176" w:type="dxa"/>
            <w:shd w:val="clear" w:color="auto" w:fill="EEF3F9"/>
          </w:tcPr>
          <w:p w14:paraId="1000007F" w14:textId="10000080" w:rsidR="00A17E3C" w:rsidRDefault="00A17E3C">
            <w:pPr>
              <w:spacing w:before="20" w:after="20" w:line="252" w:lineRule="auto"/>
            </w:pPr>
            <w:r>
              <w:rPr>
                <w:sz w:val="18"/>
              </w:rPr>
              <w:t>73/84</w:t>
            </w:r>
          </w:p>
        </w:tc>
        <w:tc>
          <w:tcPr>
            <w:tcW w:w="2176" w:type="dxa"/>
            <w:shd w:val="clear" w:color="auto" w:fill="EEF3F9"/>
          </w:tcPr>
          <w:p w14:paraId="10000081" w14:textId="10000082" w:rsidR="00A17E3C" w:rsidRDefault="00A17E3C">
            <w:pPr>
              <w:spacing w:before="20" w:after="20" w:line="252" w:lineRule="auto"/>
            </w:pPr>
            <w:r>
              <w:rPr>
                <w:sz w:val="18"/>
              </w:rPr>
              <w:t>73/84</w:t>
            </w:r>
          </w:p>
        </w:tc>
      </w:tr>
      <w:tr w:rsidR="00A17E3C" w14:paraId="10000083" w14:textId="10000084">
        <w:trPr>
          <w:cantSplit/>
          <w:jc w:val="center"/>
        </w:trPr>
        <w:tc>
          <w:tcPr>
            <w:tcW w:w="5285" w:type="dxa"/>
          </w:tcPr>
          <w:p w14:paraId="10000085" w14:textId="10000086" w:rsidR="00A17E3C" w:rsidRDefault="00A17E3C">
            <w:pPr>
              <w:spacing w:before="20" w:after="20" w:line="252" w:lineRule="auto"/>
            </w:pPr>
            <w:r>
              <w:rPr>
                <w:sz w:val="18"/>
              </w:rPr>
              <w:t xml:space="preserve">R5 </w:t>
            </w:r>
            <w:r>
              <w:rPr>
                <w:sz w:val="18"/>
              </w:rPr>
              <w:t>合算拒否・比較の回答形式</w:t>
            </w:r>
            <w:r>
              <w:rPr>
                <w:sz w:val="18"/>
              </w:rPr>
              <w:t xml:space="preserve"> / Fixed refusal and comparison forms</w:t>
            </w:r>
          </w:p>
        </w:tc>
        <w:tc>
          <w:tcPr>
            <w:tcW w:w="2176" w:type="dxa"/>
          </w:tcPr>
          <w:p w14:paraId="10000087" w14:textId="10000088" w:rsidR="00A17E3C" w:rsidRDefault="00A17E3C">
            <w:pPr>
              <w:spacing w:before="20" w:after="20" w:line="252" w:lineRule="auto"/>
            </w:pPr>
            <w:r>
              <w:rPr>
                <w:sz w:val="18"/>
              </w:rPr>
              <w:t>75/84</w:t>
            </w:r>
          </w:p>
        </w:tc>
        <w:tc>
          <w:tcPr>
            <w:tcW w:w="2176" w:type="dxa"/>
          </w:tcPr>
          <w:p w14:paraId="10000089" w14:textId="1000008A" w:rsidR="00A17E3C" w:rsidRDefault="00A17E3C">
            <w:pPr>
              <w:spacing w:before="20" w:after="20" w:line="252" w:lineRule="auto"/>
            </w:pPr>
            <w:r>
              <w:rPr>
                <w:sz w:val="18"/>
              </w:rPr>
              <w:t>65/84</w:t>
            </w:r>
          </w:p>
        </w:tc>
      </w:tr>
      <w:tr w:rsidR="00A17E3C" w14:paraId="1000008B" w14:textId="1000008C">
        <w:trPr>
          <w:cantSplit/>
          <w:jc w:val="center"/>
        </w:trPr>
        <w:tc>
          <w:tcPr>
            <w:tcW w:w="5285" w:type="dxa"/>
            <w:shd w:val="clear" w:color="auto" w:fill="EEF3F9"/>
          </w:tcPr>
          <w:p w14:paraId="1000008D" w14:textId="1000008E" w:rsidR="00A17E3C" w:rsidRDefault="00A17E3C">
            <w:pPr>
              <w:keepNext/>
              <w:spacing w:before="20" w:after="20" w:line="252" w:lineRule="auto"/>
            </w:pPr>
            <w:r>
              <w:rPr>
                <w:sz w:val="18"/>
              </w:rPr>
              <w:t xml:space="preserve">R6 </w:t>
            </w:r>
            <w:r>
              <w:rPr>
                <w:sz w:val="18"/>
              </w:rPr>
              <w:t>名前照合・単一集計</w:t>
            </w:r>
            <w:r>
              <w:rPr>
                <w:sz w:val="18"/>
              </w:rPr>
              <w:t>(</w:t>
            </w:r>
            <w:r>
              <w:rPr>
                <w:sz w:val="18"/>
              </w:rPr>
              <w:t>採用</w:t>
            </w:r>
            <w:r>
              <w:rPr>
                <w:sz w:val="18"/>
              </w:rPr>
              <w:t>) / Name matching, single aggregation (adopted)</w:t>
            </w:r>
          </w:p>
        </w:tc>
        <w:tc>
          <w:tcPr>
            <w:tcW w:w="2176" w:type="dxa"/>
            <w:shd w:val="clear" w:color="auto" w:fill="EEF3F9"/>
          </w:tcPr>
          <w:p w14:paraId="1000008F" w14:textId="10000090" w:rsidR="00A17E3C" w:rsidRDefault="00A17E3C">
            <w:pPr>
              <w:keepNext/>
              <w:spacing w:before="20" w:after="20" w:line="252" w:lineRule="auto"/>
            </w:pPr>
            <w:r>
              <w:rPr>
                <w:sz w:val="18"/>
              </w:rPr>
              <w:t>74/84</w:t>
            </w:r>
          </w:p>
        </w:tc>
        <w:tc>
          <w:tcPr>
            <w:tcW w:w="2176" w:type="dxa"/>
            <w:shd w:val="clear" w:color="auto" w:fill="EEF3F9"/>
          </w:tcPr>
          <w:p w14:paraId="10000091" w14:textId="10000092" w:rsidR="00A17E3C" w:rsidRDefault="00A17E3C">
            <w:pPr>
              <w:keepNext/>
              <w:spacing w:before="20" w:after="20" w:line="252" w:lineRule="auto"/>
            </w:pPr>
            <w:r>
              <w:rPr>
                <w:sz w:val="18"/>
              </w:rPr>
              <w:t>73/84</w:t>
            </w:r>
          </w:p>
        </w:tc>
      </w:tr>
    </w:tbl>
    <w:p w14:paraId="10000093" w14:textId="10000094" w:rsidR="00A17E3C" w:rsidRDefault="00A17E3C">
      <w:pPr>
        <w:pStyle w:val="Caption"/>
        <w:spacing w:before="40" w:after="200"/>
      </w:pPr>
      <w:r>
        <w:rPr>
          <w:sz w:val="17"/>
        </w:rPr>
        <w:t>表</w:t>
      </w:r>
      <w:r>
        <w:rPr>
          <w:sz w:val="17"/>
        </w:rPr>
        <w:t xml:space="preserve"> 2</w:t>
      </w:r>
      <w:r>
        <w:rPr>
          <w:sz w:val="17"/>
        </w:rPr>
        <w:t xml:space="preserve">　標準</w:t>
      </w:r>
      <w:r>
        <w:rPr>
          <w:sz w:val="17"/>
        </w:rPr>
        <w:t>10</w:t>
      </w:r>
      <w:r>
        <w:rPr>
          <w:sz w:val="17"/>
        </w:rPr>
        <w:t>問・</w:t>
      </w:r>
      <w:r>
        <w:rPr>
          <w:sz w:val="17"/>
        </w:rPr>
        <w:t>84</w:t>
      </w:r>
      <w:r>
        <w:rPr>
          <w:sz w:val="17"/>
        </w:rPr>
        <w:t>条件</w:t>
      </w:r>
      <w:r>
        <w:rPr>
          <w:sz w:val="17"/>
        </w:rPr>
        <w:t xml:space="preserve"> / Standard ten, 84 conditions</w:t>
      </w:r>
    </w:p>
    <w:p w14:paraId="10000095" w14:textId="10000096" w:rsidR="00A17E3C" w:rsidRDefault="00A17E3C">
      <w:pPr>
        <w:pStyle w:val="Heading1"/>
        <w:pBdr>
          <w:bottom w:val="single" w:sz="6" w:space="0" w:color="D0D7DE"/>
        </w:pBdr>
        <w:spacing w:before="520" w:after="120"/>
      </w:pPr>
      <w:r>
        <w:t>未使用セット</w:t>
      </w:r>
      <w:r>
        <w:t xml:space="preserve"> / Previously unused questions</w:t>
      </w:r>
    </w:p>
    <w:p w14:paraId="10000097" w14:textId="10000098" w:rsidR="00A17E3C" w:rsidRDefault="00A17E3C">
      <w:r>
        <w:t>未使用</w:t>
      </w:r>
      <w:r>
        <w:t>12</w:t>
      </w:r>
      <w:r>
        <w:t>問</w:t>
      </w:r>
      <w:r>
        <w:t xml:space="preserve">: </w:t>
      </w:r>
      <w:r>
        <w:t>事実</w:t>
      </w:r>
      <w:r>
        <w:t xml:space="preserve"> 11 / 1 / 0</w:t>
      </w:r>
      <w:r>
        <w:t>、内容</w:t>
      </w:r>
      <w:r>
        <w:t xml:space="preserve"> 11 / 1 / 0</w:t>
      </w:r>
      <w:r>
        <w:t>。開発セットとは別の分母です。</w:t>
      </w:r>
    </w:p>
    <w:p w14:paraId="10000099" w14:textId="1000009A" w:rsidR="00A17E3C" w:rsidRDefault="00A17E3C">
      <w:r>
        <w:t>未使用セットを改善へ流用した結果を、独立した再検証とは呼びません。</w:t>
      </w:r>
    </w:p>
    <w:p w14:paraId="1000009B" w14:textId="1000009C" w:rsidR="00A17E3C" w:rsidRDefault="00A17E3C">
      <w:r>
        <w:t>Previously unused questions are separate from the known development cohort. These measured results do not guarantee correctness for arbitrary future questions.</w:t>
      </w:r>
    </w:p>
    <w:p w14:paraId="1000009D" w14:textId="1000009E" w:rsidR="00A17E3C" w:rsidRDefault="00A17E3C">
      <w:pPr>
        <w:pStyle w:val="Heading1"/>
        <w:pBdr>
          <w:bottom w:val="single" w:sz="6" w:space="0" w:color="D0D7DE"/>
        </w:pBdr>
        <w:spacing w:before="520" w:after="120"/>
      </w:pPr>
      <w:r>
        <w:t>実装した改善</w:t>
      </w:r>
      <w:r>
        <w:t xml:space="preserve"> / Implemented changes</w:t>
      </w:r>
    </w:p>
    <w:p w14:paraId="1000009F" w14:textId="100000A0" w:rsidR="00A17E3C" w:rsidRDefault="00A17E3C">
      <w:r>
        <w:t>time-layer-isolation</w:t>
      </w:r>
      <w:r>
        <w:t>までの修正チェーンが元の統合指示を置き換え、標準</w:t>
      </w:r>
      <w:r>
        <w:t>10</w:t>
      </w:r>
      <w:r>
        <w:t>問の回答契約が失われていました。</w:t>
      </w:r>
      <w:r>
        <w:t>standard-contract-restoration</w:t>
      </w:r>
      <w:r>
        <w:t>を</w:t>
      </w:r>
      <w:r>
        <w:t>4</w:t>
      </w:r>
      <w:r>
        <w:t>つ目の</w:t>
      </w:r>
      <w:r>
        <w:t>Agent compiler</w:t>
      </w:r>
      <w:r>
        <w:t>として追加し、最優先の全体契約と</w:t>
      </w:r>
      <w:r>
        <w:t>4</w:t>
      </w:r>
      <w:r>
        <w:t>ソースの契約を既存指示の先頭へ置きました。</w:t>
      </w:r>
    </w:p>
    <w:p w14:paraId="100000A1" w14:textId="100000A2" w:rsidR="00A17E3C" w:rsidRDefault="00A17E3C">
      <w:r>
        <w:t>年の指定がない「</w:t>
      </w:r>
      <w:r>
        <w:t>8</w:t>
      </w:r>
      <w:r>
        <w:t>月」、流入・観測・イベント・ファイル・増分は</w:t>
      </w:r>
      <w:r>
        <w:t>2026</w:t>
      </w:r>
      <w:r>
        <w:t>年</w:t>
      </w:r>
      <w:r>
        <w:t>8</w:t>
      </w:r>
      <w:r>
        <w:t>月</w:t>
      </w:r>
      <w:r>
        <w:t>UTC</w:t>
      </w:r>
      <w:r>
        <w:t>の生観測と定義しました。</w:t>
      </w:r>
      <w:r>
        <w:t>2025</w:t>
      </w:r>
      <w:r>
        <w:t>は静的</w:t>
      </w:r>
      <w:r>
        <w:t>seed</w:t>
      </w:r>
      <w:r>
        <w:t>の年ラベルで、明記された時だけ使います。</w:t>
      </w:r>
      <w:r>
        <w:t>0</w:t>
      </w:r>
      <w:r>
        <w:t>件や矛盾がある場合は全体期間を確認してから結論します。</w:t>
      </w:r>
    </w:p>
    <w:p w14:paraId="100000A3" w14:textId="100000A4" w:rsidR="00A17E3C" w:rsidRDefault="00A17E3C">
      <w:r>
        <w:t>複合質問は観測</w:t>
      </w:r>
      <w:r>
        <w:t>(Eventhouse</w:t>
      </w:r>
      <w:r>
        <w:t>・重複込み</w:t>
      </w:r>
      <w:r>
        <w:t>)</w:t>
      </w:r>
      <w:r>
        <w:t>、静的値と全国順位</w:t>
      </w:r>
      <w:r>
        <w:t>(Lakehouse)</w:t>
      </w:r>
      <w:r>
        <w:t>、所属県</w:t>
      </w:r>
      <w:r>
        <w:t>(Ontology)</w:t>
      </w:r>
      <w:r>
        <w:t>を分担し、</w:t>
      </w:r>
      <w:r>
        <w:t>MunicipalityId</w:t>
      </w:r>
      <w:r>
        <w:t>で突き合わせ、足し合わせません。</w:t>
      </w:r>
    </w:p>
    <w:p w14:paraId="100000A5" w14:textId="100000A6" w:rsidR="00A17E3C" w:rsidRDefault="00A17E3C">
      <w:r>
        <w:t>受入</w:t>
      </w:r>
      <w:r>
        <w:t>/</w:t>
      </w:r>
      <w:r>
        <w:t>在住の両方の読み方、人気＝件数と金額・</w:t>
      </w:r>
      <w:r>
        <w:t>ID</w:t>
      </w:r>
      <w:r>
        <w:t>・全国スコープ、</w:t>
      </w:r>
      <w:r>
        <w:t>Ontology</w:t>
      </w:r>
      <w:r>
        <w:t>の所属</w:t>
      </w:r>
      <w:r>
        <w:t>COUNT</w:t>
      </w:r>
      <w:r>
        <w:t>と</w:t>
      </w:r>
      <w:r>
        <w:t>literal</w:t>
      </w:r>
      <w:r>
        <w:t>行、寄付追跡の全</w:t>
      </w:r>
      <w:r>
        <w:t>ID</w:t>
      </w:r>
      <w:r>
        <w:t>とカタログ登録・履行の境界、ファイル</w:t>
      </w:r>
      <w:r>
        <w:t>/</w:t>
      </w:r>
      <w:r>
        <w:t>実行の見出し、</w:t>
      </w:r>
      <w:r>
        <w:t>EventID</w:t>
      </w:r>
      <w:r>
        <w:t>がないため重複除外件数を出さない契約を復元しました。</w:t>
      </w:r>
    </w:p>
    <w:p w14:paraId="100000A7" w14:textId="100000A8" w:rsidR="00A17E3C" w:rsidRDefault="00A17E3C">
      <w:r>
        <w:t>静的と観測の合算依頼は固定の回答形式で拒否し、利用者が示した合計値を書きません。比較は差・倍率・増減率の</w:t>
      </w:r>
      <w:r>
        <w:t>3</w:t>
      </w:r>
      <w:r>
        <w:t>行で示し、要約で言い換えません。数値は「約」や万・億へ換算しません。</w:t>
      </w:r>
    </w:p>
    <w:p w14:paraId="100000A9" w14:textId="100000AA" w:rsidR="00A17E3C" w:rsidRDefault="00A17E3C">
      <w:r>
        <w:lastRenderedPageBreak/>
        <w:t>生成クエリの脆弱性に対処しました。</w:t>
      </w:r>
      <w:r>
        <w:t>KQL</w:t>
      </w:r>
      <w:r>
        <w:t>の上位自治体は</w:t>
      </w:r>
      <w:r>
        <w:t>1</w:t>
      </w:r>
      <w:r>
        <w:t>回の</w:t>
      </w:r>
      <w:r>
        <w:t>summarize</w:t>
      </w:r>
      <w:r>
        <w:t>から両指標を取り、</w:t>
      </w:r>
      <w:r>
        <w:t>Ontology</w:t>
      </w:r>
      <w:r>
        <w:t>は接尾辞付きの日本語名で照合して</w:t>
      </w:r>
      <w:r>
        <w:t>0</w:t>
      </w:r>
      <w:r>
        <w:t>件なら再試行し、</w:t>
      </w:r>
      <w:r>
        <w:t>MunicipalityId</w:t>
      </w:r>
      <w:r>
        <w:t>は文字列として扱います。</w:t>
      </w:r>
    </w:p>
    <w:p w14:paraId="100000AB" w14:textId="100000AC" w:rsidR="00A17E3C" w:rsidRDefault="00A17E3C">
      <w:r>
        <w:t>例は</w:t>
      </w:r>
      <w:r>
        <w:t>KQL1</w:t>
      </w:r>
      <w:r>
        <w:t>件を置換し</w:t>
      </w:r>
      <w:r>
        <w:t>5</w:t>
      </w:r>
      <w:r>
        <w:t>件を追加しました</w:t>
      </w:r>
      <w:r>
        <w:t>(SQL17</w:t>
      </w:r>
      <w:r>
        <w:t>・</w:t>
      </w:r>
      <w:r>
        <w:t>KQL9)</w:t>
      </w:r>
      <w:r>
        <w:t>。全</w:t>
      </w:r>
      <w:r>
        <w:t>26</w:t>
      </w:r>
      <w:r>
        <w:t>例を実ソースで実行し、行を返すことを確認しました。ソース</w:t>
      </w:r>
      <w:r>
        <w:t>ID</w:t>
      </w:r>
      <w:r>
        <w:t>・選択・</w:t>
      </w:r>
      <w:r>
        <w:t>Published</w:t>
      </w:r>
      <w:r>
        <w:t>部分・データ・メジャーは変更していません。</w:t>
      </w:r>
    </w:p>
    <w:p w14:paraId="100000AD" w14:textId="100000AE" w:rsidR="00A17E3C" w:rsidRDefault="00A17E3C">
      <w:r>
        <w:t>The corrected profile chain had replaced the original unified instructions and lost the standard-question contracts. A fourth Agent compiler, standard-contract-restoration, prepends a highest-priority coordinator contract and four source contracts.</w:t>
      </w:r>
    </w:p>
    <w:p w14:paraId="100000AF" w14:textId="100000B0" w:rsidR="00A17E3C" w:rsidRDefault="00A17E3C">
      <w:r>
        <w:t>It restores the year-less August 2026 default, three-source composite routing, both prefecture readings, popularity on both metrics, Ontology membership COUNT, the complete donation trace, fixed refusal/comparison forms, numeric fidelity and robust generated-query rules. Source identities, selections, Published parts, data and measures are unchanged.</w:t>
      </w:r>
    </w:p>
    <w:p w14:paraId="100000B1" w14:textId="100000B2" w:rsidR="00A17E3C" w:rsidRDefault="00A17E3C">
      <w:pPr>
        <w:pStyle w:val="Heading1"/>
        <w:pBdr>
          <w:bottom w:val="single" w:sz="6" w:space="0" w:color="D0D7DE"/>
        </w:pBdr>
        <w:spacing w:before="520" w:after="120"/>
      </w:pPr>
      <w:r>
        <w:t>適用と確認</w:t>
      </w:r>
      <w:r>
        <w:t xml:space="preserve"> / Apply and verify</w:t>
      </w:r>
    </w:p>
    <w:p w14:paraId="100000B3" w14:textId="100000B4" w:rsidR="00A17E3C" w:rsidRDefault="00A17E3C">
      <w:r>
        <w:t>利用者の指示により、</w:t>
      </w:r>
      <w:r>
        <w:t>2026-10-07</w:t>
      </w:r>
      <w:r>
        <w:t>の正式配置</w:t>
      </w:r>
      <w:r>
        <w:t>(</w:t>
      </w:r>
      <w:r>
        <w:t>指定フォルダの正式</w:t>
      </w:r>
      <w:r>
        <w:t>Agent1</w:t>
      </w:r>
      <w:r>
        <w:t>件</w:t>
      </w:r>
      <w:r>
        <w:t>)</w:t>
      </w:r>
      <w:r>
        <w:t>へ直接適用しました。比較用</w:t>
      </w:r>
      <w:r>
        <w:t>Agent</w:t>
      </w:r>
      <w:r>
        <w:t>は作成していません。各構成の適用前に、直前の公開定義と一致することを読み戻しで確認してから</w:t>
      </w:r>
      <w:r>
        <w:t>Draft</w:t>
      </w:r>
      <w:r>
        <w:t>を更新し、公開後に</w:t>
      </w:r>
      <w:r>
        <w:t>Published</w:t>
      </w:r>
      <w:r>
        <w:t>と</w:t>
      </w:r>
      <w:r>
        <w:t>Draft</w:t>
      </w:r>
      <w:r>
        <w:t>の一致を確認しました。</w:t>
      </w:r>
    </w:p>
    <w:p w14:paraId="100000B5" w14:textId="100000B6" w:rsidR="00A17E3C" w:rsidRDefault="00A17E3C">
      <w:r>
        <w:t>SQL/KQL</w:t>
      </w:r>
      <w:r>
        <w:t>の全</w:t>
      </w:r>
      <w:r>
        <w:t>26</w:t>
      </w:r>
      <w:r>
        <w:t>例を実ソースで読み取り実行し、行を返すことを確認しました。ネイティブ</w:t>
      </w:r>
      <w:r>
        <w:t>UI</w:t>
      </w:r>
      <w:r>
        <w:t>の</w:t>
      </w:r>
      <w:r>
        <w:t>Example queries</w:t>
      </w:r>
      <w:r>
        <w:t>画面での検証状態は確認していません</w:t>
      </w:r>
      <w:r>
        <w:t>(API</w:t>
      </w:r>
      <w:r>
        <w:t>経路のみ</w:t>
      </w:r>
      <w:r>
        <w:t>)</w:t>
      </w:r>
      <w:r>
        <w:t>。</w:t>
      </w:r>
    </w:p>
    <w:p w14:paraId="100000B7" w14:textId="100000B8" w:rsidR="00A17E3C" w:rsidRDefault="00A17E3C">
      <w:r>
        <w:t>標準</w:t>
      </w:r>
      <w:r>
        <w:t>10</w:t>
      </w:r>
      <w:r>
        <w:t>問は各構成</w:t>
      </w:r>
      <w:r>
        <w:t>2</w:t>
      </w:r>
      <w:r>
        <w:t>回、拡張</w:t>
      </w:r>
      <w:r>
        <w:t>14</w:t>
      </w:r>
      <w:r>
        <w:t>問は各構成</w:t>
      </w:r>
      <w:r>
        <w:t>1</w:t>
      </w:r>
      <w:r>
        <w:t>回送信しました。質問・期待値・</w:t>
      </w:r>
      <w:r>
        <w:t>84</w:t>
      </w:r>
      <w:r>
        <w:t>条件は変更していません。通信エラー・</w:t>
      </w:r>
      <w:r>
        <w:t>UNKNOWN</w:t>
      </w:r>
      <w:r>
        <w:t>は</w:t>
      </w:r>
      <w:r>
        <w:t>0</w:t>
      </w:r>
      <w:r>
        <w:t>件です。</w:t>
      </w:r>
      <w:r>
        <w:t>B05</w:t>
      </w:r>
      <w:r>
        <w:t>のモデル照会失敗後の診断再送</w:t>
      </w:r>
      <w:r>
        <w:t>3</w:t>
      </w:r>
      <w:r>
        <w:t>回</w:t>
      </w:r>
      <w:r>
        <w:t>(3</w:t>
      </w:r>
      <w:r>
        <w:t>回とも正答</w:t>
      </w:r>
      <w:r>
        <w:t>)</w:t>
      </w:r>
      <w:r>
        <w:t>は分母に含めていません。</w:t>
      </w:r>
    </w:p>
    <w:p w14:paraId="100000B9" w14:textId="100000BA" w:rsidR="00A17E3C" w:rsidRDefault="00A17E3C">
      <w:r>
        <w:t>最終構成の採用規則</w:t>
      </w:r>
      <w:r>
        <w:t>(</w:t>
      </w:r>
      <w:r>
        <w:t>第</w:t>
      </w:r>
      <w:r>
        <w:t>6</w:t>
      </w:r>
      <w:r>
        <w:t>構成の平均が</w:t>
      </w:r>
      <w:r>
        <w:t>73.0</w:t>
      </w:r>
      <w:r>
        <w:t>以上かつ拡張の内容</w:t>
      </w:r>
      <w:r>
        <w:t>PASS</w:t>
      </w:r>
      <w:r>
        <w:t>が</w:t>
      </w:r>
      <w:r>
        <w:t>12</w:t>
      </w:r>
      <w:r>
        <w:t>以上、満たさなければ第</w:t>
      </w:r>
      <w:r>
        <w:t>4</w:t>
      </w:r>
      <w:r>
        <w:t>〜</w:t>
      </w:r>
      <w:r>
        <w:t>6</w:t>
      </w:r>
      <w:r>
        <w:t>構成の最良を再適用</w:t>
      </w:r>
      <w:r>
        <w:t>)</w:t>
      </w:r>
      <w:r>
        <w:t>を第</w:t>
      </w:r>
      <w:r>
        <w:t>6</w:t>
      </w:r>
      <w:r>
        <w:t>構成の結果確認前に記録し、第</w:t>
      </w:r>
      <w:r>
        <w:t>6</w:t>
      </w:r>
      <w:r>
        <w:t>構成を採用してから</w:t>
      </w:r>
      <w:r>
        <w:t>holdout</w:t>
      </w:r>
      <w:r>
        <w:t>を</w:t>
      </w:r>
      <w:r>
        <w:t>1</w:t>
      </w:r>
      <w:r>
        <w:t>回だけ実行しました。</w:t>
      </w:r>
      <w:r>
        <w:t>holdout</w:t>
      </w:r>
      <w:r>
        <w:t>の採点基準は送信後・回答閲覧前に記録しました。</w:t>
      </w:r>
    </w:p>
    <w:p w14:paraId="100000BB" w14:textId="100000BC" w:rsidR="00A17E3C" w:rsidRDefault="00A17E3C">
      <w:r>
        <w:t>Applied on the user's instruction directly to the formal Agent of the 2026-10-07 deployment; no comparison Agent was created. Each configuration was read back before update and after publication (Published equals Draft). All 26 SQL/KQL examples returned rows from the real sources; the native Example-queries UI status was not inspected.</w:t>
      </w:r>
    </w:p>
    <w:p w14:paraId="100000BD" w14:textId="100000BE" w:rsidR="00A17E3C" w:rsidRDefault="00A17E3C">
      <w:r>
        <w:lastRenderedPageBreak/>
        <w:t>The standard ten ran twice and the extended fourteen once per configuration, with unchanged questions and conditions and zero transport failures or UNKNOWN. The final-configuration rule was recorded before the round-6 results, and the holdout ran once on the adopted configuration.</w:t>
      </w:r>
    </w:p>
    <w:p w14:paraId="100000BF" w14:textId="100000C0" w:rsidR="00A17E3C" w:rsidRDefault="00A17E3C">
      <w:pPr>
        <w:pStyle w:val="Heading1"/>
        <w:pBdr>
          <w:bottom w:val="single" w:sz="6" w:space="0" w:color="D0D7DE"/>
        </w:pBdr>
        <w:spacing w:before="520" w:after="120"/>
      </w:pPr>
      <w:r>
        <w:t>残る事項</w:t>
      </w:r>
      <w:r>
        <w:t xml:space="preserve"> / Remaining findings</w:t>
      </w:r>
    </w:p>
    <w:p w14:paraId="100000C1" w14:textId="100000C2" w:rsidR="00A17E3C" w:rsidRDefault="00A17E3C">
      <w:r>
        <w:t>T10(</w:t>
      </w:r>
      <w:r>
        <w:t>高額寄附者の年収・控除額の推定</w:t>
      </w:r>
      <w:r>
        <w:t>)</w:t>
      </w:r>
      <w:r>
        <w:t>は全構成で</w:t>
      </w:r>
      <w:r>
        <w:t>native</w:t>
      </w:r>
      <w:r>
        <w:t>のコンテンツフィルターに遮断されました。指示では回避せず、</w:t>
      </w:r>
      <w:r>
        <w:t>FAIL</w:t>
      </w:r>
      <w:r>
        <w:t>として報告します。製品サポートへのエスカレーションを推奨します。</w:t>
      </w:r>
    </w:p>
    <w:p w14:paraId="100000C3" w14:textId="100000C4" w:rsidR="00A17E3C" w:rsidRDefault="00A17E3C">
      <w:r>
        <w:t>T09(8</w:t>
      </w:r>
      <w:r>
        <w:t>月の観測</w:t>
      </w:r>
      <w:r>
        <w:t>1</w:t>
      </w:r>
      <w:r>
        <w:t>位が静的でも</w:t>
      </w:r>
      <w:r>
        <w:t>1</w:t>
      </w:r>
      <w:r>
        <w:t>位か・所属県</w:t>
      </w:r>
      <w:r>
        <w:t>)</w:t>
      </w:r>
      <w:r>
        <w:t>は値と順位は正しいものの、所属県を</w:t>
      </w:r>
      <w:r>
        <w:t>Ontology</w:t>
      </w:r>
      <w:r>
        <w:t>でたどらず</w:t>
      </w:r>
      <w:r>
        <w:t>Lakehouse</w:t>
      </w:r>
      <w:r>
        <w:t>の県列を使うため、</w:t>
      </w:r>
      <w:r>
        <w:t>3</w:t>
      </w:r>
      <w:r>
        <w:t>ソース表示と突き合わせキーの条件を満たしません</w:t>
      </w:r>
      <w:r>
        <w:t>(</w:t>
      </w:r>
      <w:r>
        <w:t>最終構成は</w:t>
      </w:r>
      <w:r>
        <w:t>2</w:t>
      </w:r>
      <w:r>
        <w:t>回とも</w:t>
      </w:r>
      <w:r>
        <w:t>6/8)</w:t>
      </w:r>
      <w:r>
        <w:t>。</w:t>
      </w:r>
    </w:p>
    <w:p w14:paraId="100000C5" w14:textId="100000C6" w:rsidR="00A17E3C" w:rsidRDefault="00A17E3C">
      <w:r>
        <w:t>最終構成でも再現しない欠落が残ります。</w:t>
      </w:r>
      <w:r>
        <w:t>T02</w:t>
      </w:r>
      <w:r>
        <w:t>で</w:t>
      </w:r>
      <w:r>
        <w:t>MunicipalityId</w:t>
      </w:r>
      <w:r>
        <w:t>の欠落</w:t>
      </w:r>
      <w:r>
        <w:t>(1</w:t>
      </w:r>
      <w:r>
        <w:t>回</w:t>
      </w:r>
      <w:r>
        <w:t>)</w:t>
      </w:r>
      <w:r>
        <w:t>、</w:t>
      </w:r>
      <w:r>
        <w:t>T05</w:t>
      </w:r>
      <w:r>
        <w:t>で寄附金額の欠落</w:t>
      </w:r>
      <w:r>
        <w:t>(1</w:t>
      </w:r>
      <w:r>
        <w:t>回</w:t>
      </w:r>
      <w:r>
        <w:t>)</w:t>
      </w:r>
      <w:r>
        <w:t>、</w:t>
      </w:r>
      <w:r>
        <w:t>B02</w:t>
      </w:r>
      <w:r>
        <w:t>で</w:t>
      </w:r>
      <w:r>
        <w:t>KEEPFILTERS</w:t>
      </w:r>
      <w:r>
        <w:t>の有無に関わらず空になると一般化</w:t>
      </w:r>
      <w:r>
        <w:t>(1</w:t>
      </w:r>
      <w:r>
        <w:t>回</w:t>
      </w:r>
      <w:r>
        <w:t>)</w:t>
      </w:r>
      <w:r>
        <w:t>。過去構成では</w:t>
      </w:r>
      <w:r>
        <w:t>T04</w:t>
      </w:r>
      <w:r>
        <w:t>の英語名照会による</w:t>
      </w:r>
      <w:r>
        <w:t>0</w:t>
      </w:r>
      <w:r>
        <w:t>件、</w:t>
      </w:r>
      <w:r>
        <w:t>B05</w:t>
      </w:r>
      <w:r>
        <w:t>のモデル照会失敗、</w:t>
      </w:r>
      <w:r>
        <w:t>B07</w:t>
      </w:r>
      <w:r>
        <w:t>の倍率表記の揺れも観測しました。</w:t>
      </w:r>
    </w:p>
    <w:p w14:paraId="100000C7" w14:textId="100000C8" w:rsidR="00A17E3C" w:rsidRDefault="00A17E3C">
      <w:r>
        <w:t>事前登録</w:t>
      </w:r>
      <w:r>
        <w:t>holdout12</w:t>
      </w:r>
      <w:r>
        <w:t>問</w:t>
      </w:r>
      <w:r>
        <w:t>(</w:t>
      </w:r>
      <w:r>
        <w:t>著者作成・</w:t>
      </w:r>
      <w:r>
        <w:t>1</w:t>
      </w:r>
      <w:r>
        <w:t>回</w:t>
      </w:r>
      <w:r>
        <w:t>)</w:t>
      </w:r>
      <w:r>
        <w:t>は</w:t>
      </w:r>
      <w:r>
        <w:t>11 PASS</w:t>
      </w:r>
      <w:r>
        <w:t>／</w:t>
      </w:r>
      <w:r>
        <w:t>1 FAIL</w:t>
      </w:r>
      <w:r>
        <w:t>です。</w:t>
      </w:r>
      <w:r>
        <w:t>H09(</w:t>
      </w:r>
      <w:r>
        <w:t>特定</w:t>
      </w:r>
      <w:r>
        <w:t>CSV</w:t>
      </w:r>
      <w:r>
        <w:t>内の重複の有無</w:t>
      </w:r>
      <w:r>
        <w:t>)</w:t>
      </w:r>
      <w:r>
        <w:t>で、バケットキーの一意性から「重複なし」と断定しました。正しくは</w:t>
      </w:r>
      <w:r>
        <w:t>EventID</w:t>
      </w:r>
      <w:r>
        <w:t>がないため判定不能です。重複除外の契約を「重複の有無」の質問へ広げる対策を提案しますが、未適用・未検証です。</w:t>
      </w:r>
    </w:p>
    <w:p w14:paraId="100000C9" w14:textId="100000CA" w:rsidR="00A17E3C" w:rsidRDefault="00A17E3C">
      <w:r>
        <w:t>評価は公開</w:t>
      </w:r>
      <w:r>
        <w:t>MCP</w:t>
      </w:r>
      <w:r>
        <w:t>で回答文だけを観測しました。内部クエリと実行ソースは</w:t>
      </w:r>
      <w:r>
        <w:t>UNOBSERVABLE</w:t>
      </w:r>
      <w:r>
        <w:t>で、回答中のソース表記は実行の証明ではありません。</w:t>
      </w:r>
    </w:p>
    <w:p w14:paraId="100000CB" w14:textId="100000CC" w:rsidR="00A17E3C" w:rsidRDefault="00A17E3C">
      <w:r>
        <w:t>T10 is blocked by the native content filter in every configuration and is reported, not bypassed. T09 states correct values and ranks but takes the prefecture from Lakehouse instead of an Ontology traversal (6/8 twice). Nonreproducible omissions remain (T02 ID, T05 amount, B02 KEEPFILTERS generalization once each).</w:t>
      </w:r>
    </w:p>
    <w:p w14:paraId="100000CD" w14:textId="100000CE" w:rsidR="00A17E3C" w:rsidRDefault="00A17E3C">
      <w:r>
        <w:t>The author-written holdout returned 11 PASS / 1 FAIL: H09 concluded that a file had no duplicates from bucket-key uniqueness instead of stating that EventID is unavailable. Extending the deduplication contract to duplicate-existence questions is proposed, not applied. MCP exposes answer text only; internal queries are UNOBSERVABLE.</w:t>
      </w:r>
    </w:p>
    <w:p w14:paraId="100000CF" w14:textId="100000D0" w:rsidR="00A17E3C" w:rsidRDefault="00A17E3C">
      <w:pPr>
        <w:pStyle w:val="Heading1"/>
        <w:pBdr>
          <w:bottom w:val="single" w:sz="6" w:space="0" w:color="D0D7DE"/>
        </w:pBdr>
        <w:spacing w:before="520" w:after="120"/>
      </w:pPr>
      <w:r>
        <w:lastRenderedPageBreak/>
        <w:t>証拠と採用境界</w:t>
      </w:r>
      <w:r>
        <w:t xml:space="preserve"> / Evidence and adoption boundary</w:t>
      </w:r>
    </w:p>
    <w:p w14:paraId="100000D1" w14:textId="100000D2" w:rsidR="00A17E3C" w:rsidRDefault="00A17E3C">
      <w:r>
        <w:t>利用者の指示で正式</w:t>
      </w:r>
      <w:r>
        <w:t>Agent</w:t>
      </w:r>
      <w:r>
        <w:t>の定義を更新しましたが、</w:t>
      </w:r>
      <w:r>
        <w:t>AI</w:t>
      </w:r>
      <w:r>
        <w:t>回答品質の受入・</w:t>
      </w:r>
      <w:r>
        <w:t>GA</w:t>
      </w:r>
      <w:r>
        <w:t>・全機能合格を意味しません。元</w:t>
      </w:r>
      <w:r>
        <w:t>3.0.0</w:t>
      </w:r>
      <w:r>
        <w:t>と</w:t>
      </w:r>
      <w:r>
        <w:t>2026-10-02</w:t>
      </w:r>
      <w:r>
        <w:t>の</w:t>
      </w:r>
      <w:r>
        <w:t>Word</w:t>
      </w:r>
      <w:r>
        <w:t>・</w:t>
      </w:r>
      <w:r>
        <w:t>HTML</w:t>
      </w:r>
      <w:r>
        <w:t>、</w:t>
      </w:r>
      <w:r>
        <w:t>100</w:t>
      </w:r>
      <w:r>
        <w:t>問評価、</w:t>
      </w:r>
      <w:r>
        <w:t>release tag</w:t>
      </w:r>
      <w:r>
        <w:t>、</w:t>
      </w:r>
      <w:r>
        <w:t>2026-10-04</w:t>
      </w:r>
      <w:r>
        <w:t>までの記録は変更していません。本資料は別日付の追補です。</w:t>
      </w:r>
    </w:p>
    <w:p w14:paraId="100000D3" w14:textId="100000D4" w:rsidR="00A17E3C" w:rsidRDefault="00A17E3C">
      <w:r>
        <w:t>判定は固定期待値と実回答を照合した</w:t>
      </w:r>
      <w:r>
        <w:t>AI</w:t>
      </w:r>
      <w:r>
        <w:t>補助審査です。独立した人間の</w:t>
      </w:r>
      <w:r>
        <w:t>sign-off</w:t>
      </w:r>
      <w:r>
        <w:t>ではありません。内部</w:t>
      </w:r>
      <w:r>
        <w:t>SQL/KQL/GQL/DAX</w:t>
      </w:r>
      <w:r>
        <w:t>と</w:t>
      </w:r>
      <w:r>
        <w:t>backend</w:t>
      </w:r>
      <w:r>
        <w:t>会話</w:t>
      </w:r>
      <w:r>
        <w:t>ID</w:t>
      </w:r>
      <w:r>
        <w:t>は</w:t>
      </w:r>
      <w:r>
        <w:t>UNOBSERVABLE</w:t>
      </w:r>
      <w:r>
        <w:t>です。</w:t>
      </w:r>
    </w:p>
    <w:p w14:paraId="100000D5" w14:textId="100000D6" w:rsidR="00A17E3C" w:rsidRDefault="00A17E3C">
      <w:r>
        <w:t>元</w:t>
      </w:r>
      <w:r>
        <w:t>100</w:t>
      </w:r>
      <w:r>
        <w:t>問の</w:t>
      </w:r>
      <w:r>
        <w:t>33 PASS /57 FAIL /10 UNKNOWN</w:t>
      </w:r>
      <w:r>
        <w:t>を本資料の小さい分母で置き換えていません。構成テストや例の検証成功を</w:t>
      </w:r>
      <w:r>
        <w:t>AI</w:t>
      </w:r>
      <w:r>
        <w:t>回答の</w:t>
      </w:r>
      <w:r>
        <w:t>PASS</w:t>
      </w:r>
      <w:r>
        <w:t>へ加算しません。</w:t>
      </w:r>
    </w:p>
    <w:p w14:paraId="100000D7" w14:textId="100000D8" w:rsidR="00A17E3C" w:rsidRDefault="00A17E3C">
      <w:r>
        <w:t>The deployed formal Agent definition was updated on the user's instruction; this is not AI-quality acceptance, GA or all-feature success. The original 3.0.0 release, the 2026-10-02/04 records and earlier studies are preserved.</w:t>
      </w:r>
    </w:p>
    <w:p w14:paraId="100000D9" w14:textId="100000DA" w:rsidR="00A17E3C" w:rsidRDefault="00A17E3C">
      <w:r>
        <w:rPr>
          <w:sz w:val="16"/>
        </w:rPr>
        <w:t>Source study SHA-256: a047910ddf0af1c2f006e89baa9b5ef606de68a20ec87e912b9f1192c9f74b94</w:t>
      </w:r>
    </w:p>
    <w:sectPr w:rsidR="00A17E3C">
      <w:headerReference w:type="default" r:id="rId7"/>
      <w:footerReference w:type="default" r:id="rId8"/>
      <w:headerReference w:type="first" r:id="rId9"/>
      <w:footerReference w:type="first" r:id="rId10"/>
      <w:pgSz w:w="11906" w:h="16838"/>
      <w:pgMar w:top="1134" w:right="1134" w:bottom="1020" w:left="1134"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000DB" w14:textId="100000DC" w:rsidR="00A17E3C" w:rsidRDefault="00A17E3C">
      <w:pPr>
        <w:spacing w:after="0" w:line="240" w:lineRule="auto"/>
      </w:pPr>
      <w:r>
        <w:separator/>
      </w:r>
    </w:p>
  </w:endnote>
  <w:endnote w:type="continuationSeparator" w:id="0">
    <w:p w14:paraId="100000DD" w14:textId="100000DE" w:rsidR="00A17E3C" w:rsidRDefault="00A17E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Gothic UI">
    <w:panose1 w:val="020B05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000DF" w14:textId="100000E0" w:rsidR="00A17E3C" w:rsidRDefault="00A17E3C">
    <w:pPr>
      <w:pStyle w:val="Footer"/>
      <w:pBdr>
        <w:top w:val="single" w:sz="8" w:space="4" w:color="8EA9C1"/>
      </w:pBdr>
      <w:tabs>
        <w:tab w:val="right" w:pos="9638"/>
      </w:tabs>
    </w:pPr>
    <w:r>
      <w:rPr>
        <w:sz w:val="18"/>
      </w:rPr>
      <w:tab/>
    </w:r>
    <w:r>
      <w:rPr>
        <w:b/>
        <w:color w:val="4B5563"/>
        <w:sz w:val="18"/>
      </w:rPr>
      <w:t xml:space="preserve">Page </w:t>
    </w:r>
    <w:r>
      <w:rPr>
        <w:color w:val="4B5563"/>
        <w:sz w:val="18"/>
      </w:rPr>
      <w:fldChar w:fldCharType="begin"/>
    </w:r>
    <w:r>
      <w:rPr>
        <w:color w:val="4B5563"/>
        <w:sz w:val="18"/>
      </w:rPr>
      <w:instrText xml:space="preserve"> PAGE </w:instrText>
    </w:r>
    <w:r>
      <w:rPr>
        <w:color w:val="4B5563"/>
        <w:sz w:val="18"/>
      </w:rPr>
      <w:fldChar w:fldCharType="separate"/>
    </w:r>
    <w:r>
      <w:rPr>
        <w:color w:val="4B5563"/>
        <w:sz w:val="18"/>
      </w:rPr>
      <w:t>1</w:t>
    </w:r>
    <w:r>
      <w:rPr>
        <w:color w:val="4B5563"/>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000E1" w14:textId="100000E2" w:rsidR="00A17E3C" w:rsidRDefault="00A17E3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000E3" w14:textId="100000E4" w:rsidR="00A17E3C" w:rsidRDefault="00A17E3C">
      <w:pPr>
        <w:spacing w:after="0" w:line="240" w:lineRule="auto"/>
      </w:pPr>
      <w:r>
        <w:separator/>
      </w:r>
    </w:p>
  </w:footnote>
  <w:footnote w:type="continuationSeparator" w:id="0">
    <w:p w14:paraId="100000E5" w14:textId="100000E6" w:rsidR="00A17E3C" w:rsidRDefault="00A17E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000E7" w14:textId="100000E8" w:rsidR="00A17E3C" w:rsidRDefault="00A17E3C">
    <w:pPr>
      <w:pStyle w:val="Header"/>
      <w:pBdr>
        <w:bottom w:val="single" w:sz="6" w:space="2" w:color="D0D7DE"/>
      </w:pBdr>
      <w:tabs>
        <w:tab w:val="clear" w:pos="4680"/>
        <w:tab w:val="clear" w:pos="9360"/>
        <w:tab w:val="right" w:pos="9638"/>
      </w:tabs>
    </w:pPr>
    <w:r>
      <w:rPr>
        <w:noProof/>
      </w:rPr>
      <w:drawing>
        <wp:inline distT="0" distB="0" distL="0" distR="0" wp14:anchorId="100000E9" wp14:editId="100000EA">
          <wp:extent cx="177165" cy="182880"/>
          <wp:effectExtent l="0" t="0" r="0" b="0"/>
          <wp:docPr id="9101" name="Microsoft Fabric logo" descr="Microsoft Fabri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 name="Microsoft Fabric logo" descr="Microsoft Fabric logo"/>
                  <pic:cNvPicPr/>
                </pic:nvPicPr>
                <pic:blipFill>
                  <a:blip r:embed="rId1"/>
                  <a:stretch>
                    <a:fillRect/>
                  </a:stretch>
                </pic:blipFill>
                <pic:spPr>
                  <a:xfrm>
                    <a:off x="0" y="0"/>
                    <a:ext cx="177165" cy="182880"/>
                  </a:xfrm>
                  <a:prstGeom prst="rect">
                    <a:avLst/>
                  </a:prstGeom>
                </pic:spPr>
              </pic:pic>
            </a:graphicData>
          </a:graphic>
        </wp:inline>
      </w:drawing>
    </w:r>
    <w:r>
      <w:rPr>
        <w:b/>
        <w:color w:val="174C88"/>
        <w:sz w:val="17"/>
      </w:rPr>
      <w:t xml:space="preserve">  Microsoft Fabric IQ Workshop FY27</w:t>
    </w:r>
    <w:r>
      <w:rPr>
        <w:sz w:val="17"/>
      </w:rPr>
      <w:tab/>
    </w:r>
    <w:r>
      <w:rPr>
        <w:color w:val="7A869A"/>
        <w:sz w:val="17"/>
      </w:rPr>
      <w:t>Furusato Ontology Hands-on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000EB" w14:textId="100000EC" w:rsidR="00A17E3C" w:rsidRDefault="00A17E3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Yu Gothic UI" w:eastAsia="Yu Gothic UI" w:hAnsi="Yu Gothic UI" w:cs="Yu Gothic UI"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Yu Gothic UI" w:eastAsia="Yu Gothic UI" w:hAnsi="Yu Gothic UI" w:cs="Yu Gothic UI"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Yu Gothic UI" w:eastAsia="Yu Gothic UI" w:hAnsi="Yu Gothic UI" w:cs="Yu Gothic UI"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Yu Gothic UI" w:eastAsia="Yu Gothic UI" w:hAnsi="Yu Gothic UI" w:cs="Yu Gothic UI" w:hint="default"/>
      </w:rPr>
    </w:lvl>
  </w:abstractNum>
  <w:abstractNum w:abstractNumId="9" w15:restartNumberingAfterBreak="0">
    <w:nsid w:val="376E2885"/>
    <w:multiLevelType w:val="multilevel"/>
    <w:tmpl w:val="7CD0B2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Yu Gothic UI" w:eastAsia="Yu Gothic UI" w:hAnsi="Yu Gothic UI" w:cs="Yu Gothic UI"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903C87"/>
    <w:multiLevelType w:val="hybridMultilevel"/>
    <w:tmpl w:val="AAB21E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0000002">
    <w:abstractNumId w:val="8"/>
  </w:num>
  <w:num w:numId="2" w16cid:durableId="1000000003">
    <w:abstractNumId w:val="6"/>
  </w:num>
  <w:num w:numId="3" w16cid:durableId="1000000004">
    <w:abstractNumId w:val="5"/>
  </w:num>
  <w:num w:numId="4" w16cid:durableId="1000000005">
    <w:abstractNumId w:val="4"/>
  </w:num>
  <w:num w:numId="5" w16cid:durableId="1000000006">
    <w:abstractNumId w:val="7"/>
  </w:num>
  <w:num w:numId="6" w16cid:durableId="1000000007">
    <w:abstractNumId w:val="3"/>
  </w:num>
  <w:num w:numId="7" w16cid:durableId="1000000008">
    <w:abstractNumId w:val="2"/>
  </w:num>
  <w:num w:numId="8" w16cid:durableId="1000000009">
    <w:abstractNumId w:val="1"/>
  </w:num>
  <w:num w:numId="9" w16cid:durableId="1000000010">
    <w:abstractNumId w:val="0"/>
  </w:num>
  <w:num w:numId="10" w16cid:durableId="1000000011">
    <w:abstractNumId w:val="10"/>
  </w:num>
  <w:num w:numId="11" w16cid:durableId="10000000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720"/>
  <w:characterSpacingControl w:val="compressPunctuation"/>
  <w:strictFirstAndLastChars w:val="tru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E3C"/>
    <w:rsid w:val="00A17E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00A17E3C"/>
  <w14:defaultImageDpi w14:val="300"/>
  <w15:docId w15:val="{DF0D9BDA-F63A-4AC6-B437-9B88572CF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Yu Gothic UI" w:eastAsia="Yu Gothic UI" w:hAnsi="Yu Gothic UI" w:cs="Yu Gothic UI"/>
        <w:sz w:val="22"/>
        <w:szCs w:val="22"/>
        <w:lang w:val="en-US" w:eastAsia="ja-JP" w:bidi="ar-SA"/>
      </w:rPr>
    </w:rPrDefault>
    <w:pPrDefault>
      <w:pPr>
        <w:kinsoku w:val="true"/>
        <w:wordWrap w:val="true"/>
        <w:overflowPunct w:val="true"/>
        <w:topLinePunct w:val="false"/>
        <w:autoSpaceDE w:val="true"/>
        <w:autoSpaceDN w:val="true"/>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93" w:lineRule="auto"/>
    </w:pPr>
    <w:rPr>
      <w:sz w:val="21"/>
    </w:rPr>
  </w:style>
  <w:style w:type="paragraph" w:styleId="Heading1">
    <w:name w:val="heading 1"/>
    <w:basedOn w:val="Normal"/>
    <w:next w:val="Normal"/>
    <w:link w:val="Heading1Char"/>
    <w:uiPriority w:val="9"/>
    <w:qFormat/>
    <w:rsid w:val="00FC693F"/>
    <w:pPr>
      <w:keepNext/>
      <w:keepLines/>
      <w:spacing w:before="320" w:after="160"/>
      <w:outlineLvl w:val="0"/>
    </w:pPr>
    <w:rPr>
      <w:b/>
      <w:bCs/>
      <w:color w:val="174C88"/>
      <w:sz w:val="3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b/>
      <w:bCs/>
      <w:color w:val="174C88"/>
      <w:sz w:val="2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0F6CBD"/>
      <w:sz w:val="24"/>
    </w:rPr>
  </w:style>
  <w:style w:type="paragraph" w:styleId="Heading4">
    <w:name w:val="heading 4"/>
    <w:basedOn w:val="Normal"/>
    <w:next w:val="Normal"/>
    <w:link w:val="Heading4Char"/>
    <w:uiPriority w:val="9"/>
    <w:unhideWhenUsed/>
    <w:qFormat/>
    <w:rsid w:val="00FC693F"/>
    <w:pPr>
      <w:keepNext/>
      <w:keepLines/>
      <w:spacing w:before="200" w:after="0"/>
      <w:outlineLvl w:val="3"/>
    </w:pPr>
    <w:rPr>
      <w:b/>
      <w:bCs/>
      <w:i/>
      <w:iCs/>
      <w:color w:val="4B556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Yu Gothic UI" w:eastAsia="Yu Gothic UI" w:hAnsi="Yu Gothic UI" w:cs="Yu Gothic UI"/>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Yu Gothic UI" w:eastAsia="Yu Gothic UI" w:hAnsi="Yu Gothic UI" w:cs="Yu Gothic UI"/>
    </w:rPr>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Yu Gothic UI" w:eastAsia="Yu Gothic UI" w:hAnsi="Yu Gothic UI" w:cs="Yu Gothic U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Yu Gothic UI" w:eastAsia="Yu Gothic UI" w:hAnsi="Yu Gothic UI" w:cs="Yu Gothic UI"/>
      <w:b/>
      <w:bCs/>
      <w:color w:val="4F81BD" w:themeColor="accent1"/>
      <w:sz w:val="26"/>
      <w:szCs w:val="26"/>
    </w:rPr>
  </w:style>
  <w:style w:type="character" w:customStyle="1" w:styleId="Heading3Char">
    <w:name w:val="Heading 3 Char"/>
    <w:basedOn w:val="DefaultParagraphFont"/>
    <w:link w:val="Heading3"/>
    <w:uiPriority w:val="9"/>
    <w:rsid w:val="00FC693F"/>
    <w:rPr>
      <w:rFonts w:ascii="Yu Gothic UI" w:eastAsia="Yu Gothic UI" w:hAnsi="Yu Gothic UI" w:cs="Yu Gothic U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b/>
      <w:color w:val="174C88"/>
      <w:spacing w:val="5"/>
      <w:kern w:val="28"/>
      <w:sz w:val="60"/>
      <w:szCs w:val="52"/>
    </w:rPr>
  </w:style>
  <w:style w:type="character" w:customStyle="1" w:styleId="TitleChar">
    <w:name w:val="Title Char"/>
    <w:basedOn w:val="DefaultParagraphFont"/>
    <w:link w:val="Title"/>
    <w:uiPriority w:val="10"/>
    <w:rsid w:val="00FC693F"/>
    <w:rPr>
      <w:rFonts w:ascii="Yu Gothic UI" w:eastAsia="Yu Gothic UI" w:hAnsi="Yu Gothic UI" w:cs="Yu Gothic U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Yu Gothic UI" w:eastAsia="Yu Gothic UI" w:hAnsi="Yu Gothic UI" w:cs="Yu Gothic U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Yu Gothic UI" w:eastAsia="Yu Gothic UI" w:hAnsi="Yu Gothic UI" w:cs="Yu Gothic UI"/>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Yu Gothic UI" w:eastAsia="Yu Gothic UI" w:hAnsi="Yu Gothic UI" w:cs="Yu Gothic UI"/>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Yu Gothic UI" w:eastAsia="Yu Gothic UI" w:hAnsi="Yu Gothic UI" w:cs="Yu Gothic UI"/>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sz w:val="20"/>
      <w:szCs w:val="20"/>
    </w:rPr>
  </w:style>
  <w:style w:type="character" w:customStyle="1" w:styleId="MacroTextChar">
    <w:name w:val="Macro Text Char"/>
    <w:basedOn w:val="DefaultParagraphFont"/>
    <w:link w:val="MacroText"/>
    <w:uiPriority w:val="99"/>
    <w:rsid w:val="0029639D"/>
    <w:rPr>
      <w:rFonts w:ascii="Yu Gothic UI" w:eastAsia="Yu Gothic UI" w:hAnsi="Yu Gothic UI" w:cs="Yu Gothic UI"/>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Yu Gothic UI" w:eastAsia="Yu Gothic UI" w:hAnsi="Yu Gothic UI" w:cs="Yu Gothic UI"/>
      <w:i/>
      <w:iCs/>
      <w:color w:val="000000" w:themeColor="text1"/>
    </w:rPr>
  </w:style>
  <w:style w:type="character" w:customStyle="1" w:styleId="Heading4Char">
    <w:name w:val="Heading 4 Char"/>
    <w:basedOn w:val="DefaultParagraphFont"/>
    <w:link w:val="Heading4"/>
    <w:uiPriority w:val="9"/>
    <w:rsid w:val="00FC693F"/>
    <w:rPr>
      <w:rFonts w:ascii="Yu Gothic UI" w:eastAsia="Yu Gothic UI" w:hAnsi="Yu Gothic UI" w:cs="Yu Gothic UI"/>
      <w:b/>
      <w:bCs/>
      <w:i/>
      <w:iCs/>
      <w:color w:val="4F81BD" w:themeColor="accent1"/>
    </w:rPr>
  </w:style>
  <w:style w:type="character" w:customStyle="1" w:styleId="Heading5Char">
    <w:name w:val="Heading 5 Char"/>
    <w:basedOn w:val="DefaultParagraphFont"/>
    <w:link w:val="Heading5"/>
    <w:uiPriority w:val="9"/>
    <w:semiHidden/>
    <w:rsid w:val="00FC693F"/>
    <w:rPr>
      <w:rFonts w:ascii="Yu Gothic UI" w:eastAsia="Yu Gothic UI" w:hAnsi="Yu Gothic UI" w:cs="Yu Gothic UI"/>
      <w:color w:val="243F60" w:themeColor="accent1" w:themeShade="7F"/>
    </w:rPr>
  </w:style>
  <w:style w:type="character" w:customStyle="1" w:styleId="Heading6Char">
    <w:name w:val="Heading 6 Char"/>
    <w:basedOn w:val="DefaultParagraphFont"/>
    <w:link w:val="Heading6"/>
    <w:uiPriority w:val="9"/>
    <w:semiHidden/>
    <w:rsid w:val="00FC693F"/>
    <w:rPr>
      <w:rFonts w:ascii="Yu Gothic UI" w:eastAsia="Yu Gothic UI" w:hAnsi="Yu Gothic UI" w:cs="Yu Gothic UI"/>
      <w:i/>
      <w:iCs/>
      <w:color w:val="243F60" w:themeColor="accent1" w:themeShade="7F"/>
    </w:rPr>
  </w:style>
  <w:style w:type="character" w:customStyle="1" w:styleId="Heading7Char">
    <w:name w:val="Heading 7 Char"/>
    <w:basedOn w:val="DefaultParagraphFont"/>
    <w:link w:val="Heading7"/>
    <w:uiPriority w:val="9"/>
    <w:semiHidden/>
    <w:rsid w:val="00FC693F"/>
    <w:rPr>
      <w:rFonts w:ascii="Yu Gothic UI" w:eastAsia="Yu Gothic UI" w:hAnsi="Yu Gothic UI" w:cs="Yu Gothic UI"/>
      <w:i/>
      <w:iCs/>
      <w:color w:val="404040" w:themeColor="text1" w:themeTint="BF"/>
    </w:rPr>
  </w:style>
  <w:style w:type="character" w:customStyle="1" w:styleId="Heading8Char">
    <w:name w:val="Heading 8 Char"/>
    <w:basedOn w:val="DefaultParagraphFont"/>
    <w:link w:val="Heading8"/>
    <w:uiPriority w:val="9"/>
    <w:semiHidden/>
    <w:rsid w:val="00FC693F"/>
    <w:rPr>
      <w:rFonts w:ascii="Yu Gothic UI" w:eastAsia="Yu Gothic UI" w:hAnsi="Yu Gothic UI" w:cs="Yu Gothic UI"/>
      <w:color w:val="4F81BD" w:themeColor="accent1"/>
      <w:sz w:val="20"/>
      <w:szCs w:val="20"/>
    </w:rPr>
  </w:style>
  <w:style w:type="character" w:customStyle="1" w:styleId="Heading9Char">
    <w:name w:val="Heading 9 Char"/>
    <w:basedOn w:val="DefaultParagraphFont"/>
    <w:link w:val="Heading9"/>
    <w:uiPriority w:val="9"/>
    <w:semiHidden/>
    <w:rsid w:val="00FC693F"/>
    <w:rPr>
      <w:rFonts w:ascii="Yu Gothic UI" w:eastAsia="Yu Gothic UI" w:hAnsi="Yu Gothic UI" w:cs="Yu Gothic U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B6674"/>
      <w:sz w:val="18"/>
      <w:szCs w:val="18"/>
    </w:rPr>
  </w:style>
  <w:style w:type="character" w:styleId="Strong">
    <w:name w:val="Strong"/>
    <w:basedOn w:val="DefaultParagraphFont"/>
    <w:uiPriority w:val="22"/>
    <w:qFormat/>
    <w:rsid w:val="00FC693F"/>
    <w:rPr>
      <w:rFonts w:ascii="Yu Gothic UI" w:eastAsia="Yu Gothic UI" w:hAnsi="Yu Gothic UI" w:cs="Yu Gothic UI"/>
      <w:b/>
      <w:bCs/>
    </w:rPr>
  </w:style>
  <w:style w:type="character" w:styleId="Emphasis">
    <w:name w:val="Emphasis"/>
    <w:basedOn w:val="DefaultParagraphFont"/>
    <w:uiPriority w:val="20"/>
    <w:qFormat/>
    <w:rsid w:val="00FC693F"/>
    <w:rPr>
      <w:rFonts w:ascii="Yu Gothic UI" w:eastAsia="Yu Gothic UI" w:hAnsi="Yu Gothic UI" w:cs="Yu Gothic UI"/>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Yu Gothic UI" w:eastAsia="Yu Gothic UI" w:hAnsi="Yu Gothic UI" w:cs="Yu Gothic UI"/>
      <w:b/>
      <w:bCs/>
      <w:i/>
      <w:iCs/>
      <w:color w:val="4F81BD" w:themeColor="accent1"/>
    </w:rPr>
  </w:style>
  <w:style w:type="character" w:styleId="SubtleEmphasis">
    <w:name w:val="Subtle Emphasis"/>
    <w:basedOn w:val="DefaultParagraphFont"/>
    <w:uiPriority w:val="19"/>
    <w:qFormat/>
    <w:rsid w:val="00FC693F"/>
    <w:rPr>
      <w:rFonts w:ascii="Yu Gothic UI" w:eastAsia="Yu Gothic UI" w:hAnsi="Yu Gothic UI" w:cs="Yu Gothic UI"/>
      <w:i/>
      <w:iCs/>
      <w:color w:val="808080" w:themeColor="text1" w:themeTint="7F"/>
    </w:rPr>
  </w:style>
  <w:style w:type="character" w:styleId="IntenseEmphasis">
    <w:name w:val="Intense Emphasis"/>
    <w:basedOn w:val="DefaultParagraphFont"/>
    <w:uiPriority w:val="21"/>
    <w:qFormat/>
    <w:rsid w:val="00FC693F"/>
    <w:rPr>
      <w:rFonts w:ascii="Yu Gothic UI" w:eastAsia="Yu Gothic UI" w:hAnsi="Yu Gothic UI" w:cs="Yu Gothic UI"/>
      <w:b/>
      <w:bCs/>
      <w:i/>
      <w:iCs/>
      <w:color w:val="4F81BD" w:themeColor="accent1"/>
    </w:rPr>
  </w:style>
  <w:style w:type="character" w:styleId="SubtleReference">
    <w:name w:val="Subtle Reference"/>
    <w:basedOn w:val="DefaultParagraphFont"/>
    <w:uiPriority w:val="31"/>
    <w:qFormat/>
    <w:rsid w:val="00FC693F"/>
    <w:rPr>
      <w:rFonts w:ascii="Yu Gothic UI" w:eastAsia="Yu Gothic UI" w:hAnsi="Yu Gothic UI" w:cs="Yu Gothic UI"/>
      <w:smallCaps/>
      <w:color w:val="C0504D" w:themeColor="accent2"/>
      <w:u w:val="single"/>
    </w:rPr>
  </w:style>
  <w:style w:type="character" w:styleId="IntenseReference">
    <w:name w:val="Intense Reference"/>
    <w:basedOn w:val="DefaultParagraphFont"/>
    <w:uiPriority w:val="32"/>
    <w:qFormat/>
    <w:rsid w:val="00FC693F"/>
    <w:rPr>
      <w:rFonts w:ascii="Yu Gothic UI" w:eastAsia="Yu Gothic UI" w:hAnsi="Yu Gothic UI" w:cs="Yu Gothic UI"/>
      <w:b/>
      <w:bCs/>
      <w:smallCaps/>
      <w:color w:val="C0504D" w:themeColor="accent2"/>
      <w:spacing w:val="5"/>
      <w:u w:val="single"/>
    </w:rPr>
  </w:style>
  <w:style w:type="character" w:styleId="BookTitle">
    <w:name w:val="Book Title"/>
    <w:basedOn w:val="DefaultParagraphFont"/>
    <w:uiPriority w:val="33"/>
    <w:qFormat/>
    <w:rsid w:val="00FC693F"/>
    <w:rPr>
      <w:rFonts w:ascii="Yu Gothic UI" w:eastAsia="Yu Gothic UI" w:hAnsi="Yu Gothic UI" w:cs="Yu Gothic UI"/>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Yu Gothic UI" w:eastAsia="Yu Gothic UI" w:hAnsi="Yu Gothic UI" w:cs="Yu Gothic U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Yu Gothic UI" w:eastAsia="Yu Gothic UI" w:hAnsi="Yu Gothic UI" w:cs="Yu Gothic U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Yu Gothic UI" w:eastAsia="Yu Gothic UI" w:hAnsi="Yu Gothic UI" w:cs="Yu Gothic U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Yu Gothic UI" w:eastAsia="Yu Gothic UI" w:hAnsi="Yu Gothic UI" w:cs="Yu Gothic U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Yu Gothic UI" w:eastAsia="Yu Gothic UI" w:hAnsi="Yu Gothic UI" w:cs="Yu Gothic U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Yu Gothic UI" w:eastAsia="Yu Gothic UI" w:hAnsi="Yu Gothic UI" w:cs="Yu Gothic U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Yu Gothic UI" w:eastAsia="Yu Gothic UI" w:hAnsi="Yu Gothic UI" w:cs="Yu Gothic U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Yu Gothic UI" w:eastAsia="Yu Gothic UI" w:hAnsi="Yu Gothic UI" w:cs="Yu Gothic U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Yu Gothic UI" w:eastAsia="Yu Gothic UI" w:hAnsi="Yu Gothic UI" w:cs="Yu Gothic U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Yu Gothic UI" w:eastAsia="Yu Gothic UI" w:hAnsi="Yu Gothic UI" w:cs="Yu Gothic U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Yu Gothic UI" w:eastAsia="Yu Gothic UI" w:hAnsi="Yu Gothic UI" w:cs="Yu Gothic U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Yu Gothic UI" w:eastAsia="Yu Gothic UI" w:hAnsi="Yu Gothic UI" w:cs="Yu Gothic U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Yu Gothic UI" w:eastAsia="Yu Gothic UI" w:hAnsi="Yu Gothic UI" w:cs="Yu Gothic U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Yu Gothic UI" w:eastAsia="Yu Gothic UI" w:hAnsi="Yu Gothic UI" w:cs="Yu Gothic U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Yu Gothic UI" w:eastAsia="Yu Gothic UI" w:hAnsi="Yu Gothic UI" w:cs="Yu Gothic U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Yu Gothic UI" w:eastAsia="Yu Gothic UI" w:hAnsi="Yu Gothic UI" w:cs="Yu Gothic U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Yu Gothic UI" w:eastAsia="Yu Gothic UI" w:hAnsi="Yu Gothic UI" w:cs="Yu Gothic U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Yu Gothic UI" w:eastAsia="Yu Gothic UI" w:hAnsi="Yu Gothic UI" w:cs="Yu Gothic U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Yu Gothic UI" w:eastAsia="Yu Gothic UI" w:hAnsi="Yu Gothic UI" w:cs="Yu Gothic U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Yu Gothic UI" w:eastAsia="Yu Gothic UI" w:hAnsi="Yu Gothic UI" w:cs="Yu Gothic U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Yu Gothic UI" w:eastAsia="Yu Gothic UI" w:hAnsi="Yu Gothic UI" w:cs="Yu Gothic U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1066F"/>
  </w:style>
  <w:style w:type="paragraph" w:styleId="TOC2">
    <w:name w:val="toc 2"/>
    <w:basedOn w:val="Normal"/>
    <w:next w:val="Normal"/>
    <w:autoRedefine/>
    <w:uiPriority w:val="39"/>
    <w:unhideWhenUsed/>
    <w:rsid w:val="00C1066F"/>
    <w:pPr>
      <w:ind w:left="210"/>
    </w:pPr>
  </w:style>
  <w:style w:type="paragraph" w:styleId="TOC3">
    <w:name w:val="toc 3"/>
    <w:basedOn w:val="Normal"/>
    <w:next w:val="Normal"/>
    <w:autoRedefine/>
    <w:uiPriority w:val="39"/>
    <w:unhideWhenUsed/>
    <w:rsid w:val="00C1066F"/>
    <w:pPr>
      <w:ind w:left="420"/>
    </w:pPr>
  </w:style>
  <w:style w:type="character" w:styleId="Hyperlink">
    <w:name w:val="Hyperlink"/>
    <w:basedOn w:val="DefaultParagraphFont"/>
    <w:uiPriority w:val="99"/>
    <w:unhideWhenUsed/>
    <w:rsid w:val="00C1066F"/>
    <w:rPr>
      <w:rFonts w:ascii="Yu Gothic UI" w:eastAsia="Yu Gothic UI" w:hAnsi="Yu Gothic UI" w:cs="Yu Gothic UI"/>
      <w:color w:val="0000FF" w:themeColor="hyperlink"/>
      <w:u w:val="single"/>
    </w:rPr>
  </w:style>
  <w:style w:type="paragraph" w:styleId="TOC4">
    <w:name w:val="toc 4"/>
    <w:basedOn w:val="Normal"/>
    <w:next w:val="Normal"/>
    <w:autoRedefine/>
    <w:uiPriority w:val="39"/>
    <w:unhideWhenUsed/>
    <w:rsid w:val="009A389C"/>
    <w:pPr>
      <w:spacing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9A389C"/>
    <w:pPr>
      <w:spacing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9A389C"/>
    <w:pPr>
      <w:spacing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9A389C"/>
    <w:pPr>
      <w:spacing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9A389C"/>
    <w:pPr>
      <w:spacing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9A389C"/>
    <w:pPr>
      <w:spacing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9A38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Yu Gothic UI"/>
        <a:ea typeface="Yu Gothic UI"/>
        <a:cs typeface="Yu Gothic UI"/>
        <a:font script="Jpan" typeface="Yu Gothic UI"/>
        <a:font script="Hang" typeface="Yu Gothic UI"/>
        <a:font script="Hans" typeface="Yu Gothic UI"/>
        <a:font script="Hant" typeface="Yu Gothic UI"/>
        <a:font script="Arab" typeface="Yu Gothic UI"/>
        <a:font script="Hebr" typeface="Yu Gothic UI"/>
        <a:font script="Thai" typeface="Yu Gothic UI"/>
        <a:font script="Ethi" typeface="Yu Gothic UI"/>
        <a:font script="Beng" typeface="Yu Gothic UI"/>
        <a:font script="Gujr" typeface="Yu Gothic UI"/>
        <a:font script="Khmr" typeface="Yu Gothic UI"/>
        <a:font script="Knda" typeface="Yu Gothic UI"/>
        <a:font script="Guru" typeface="Yu Gothic UI"/>
        <a:font script="Cans" typeface="Yu Gothic UI"/>
        <a:font script="Cher" typeface="Yu Gothic UI"/>
        <a:font script="Yiii" typeface="Yu Gothic UI"/>
        <a:font script="Tibt" typeface="Yu Gothic UI"/>
        <a:font script="Thaa" typeface="Yu Gothic UI"/>
        <a:font script="Deva" typeface="Yu Gothic UI"/>
        <a:font script="Telu" typeface="Yu Gothic UI"/>
        <a:font script="Taml" typeface="Yu Gothic UI"/>
        <a:font script="Syrc" typeface="Yu Gothic UI"/>
        <a:font script="Orya" typeface="Yu Gothic UI"/>
        <a:font script="Mlym" typeface="Yu Gothic UI"/>
        <a:font script="Laoo" typeface="Yu Gothic UI"/>
        <a:font script="Sinh" typeface="Yu Gothic UI"/>
        <a:font script="Mong" typeface="Yu Gothic UI"/>
        <a:font script="Viet" typeface="Yu Gothic UI"/>
        <a:font script="Uigh" typeface="Yu Gothic UI"/>
        <a:font script="Geor" typeface="Yu Gothic UI"/>
      </a:majorFont>
      <a:minorFont>
        <a:latin typeface="Yu Gothic UI"/>
        <a:ea typeface="Yu Gothic UI"/>
        <a:cs typeface="Yu Gothic UI"/>
        <a:font script="Jpan" typeface="Yu Gothic UI"/>
        <a:font script="Hang" typeface="Yu Gothic UI"/>
        <a:font script="Hans" typeface="Yu Gothic UI"/>
        <a:font script="Hant" typeface="Yu Gothic UI"/>
        <a:font script="Arab" typeface="Yu Gothic UI"/>
        <a:font script="Hebr" typeface="Yu Gothic UI"/>
        <a:font script="Thai" typeface="Yu Gothic UI"/>
        <a:font script="Ethi" typeface="Yu Gothic UI"/>
        <a:font script="Beng" typeface="Yu Gothic UI"/>
        <a:font script="Gujr" typeface="Yu Gothic UI"/>
        <a:font script="Khmr" typeface="Yu Gothic UI"/>
        <a:font script="Knda" typeface="Yu Gothic UI"/>
        <a:font script="Guru" typeface="Yu Gothic UI"/>
        <a:font script="Cans" typeface="Yu Gothic UI"/>
        <a:font script="Cher" typeface="Yu Gothic UI"/>
        <a:font script="Yiii" typeface="Yu Gothic UI"/>
        <a:font script="Tibt" typeface="Yu Gothic UI"/>
        <a:font script="Thaa" typeface="Yu Gothic UI"/>
        <a:font script="Deva" typeface="Yu Gothic UI"/>
        <a:font script="Telu" typeface="Yu Gothic UI"/>
        <a:font script="Taml" typeface="Yu Gothic UI"/>
        <a:font script="Syrc" typeface="Yu Gothic UI"/>
        <a:font script="Orya" typeface="Yu Gothic UI"/>
        <a:font script="Mlym" typeface="Yu Gothic UI"/>
        <a:font script="Laoo" typeface="Yu Gothic UI"/>
        <a:font script="Sinh" typeface="Yu Gothic UI"/>
        <a:font script="Mong" typeface="Yu Gothic UI"/>
        <a:font script="Viet" typeface="Yu Gothic UI"/>
        <a:font script="Uigh" typeface="Yu Gothic UI"/>
        <a:font script="Geor" typeface="Yu Gothic U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f42aa342-8706-4288-bd11-ebb85995028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5</Pages>
  <Words>2780</Words>
  <Characters>5857</Characters>
  <Application>Microsoft Office Word</Application>
  <DocSecurity>0</DocSecurity>
  <Lines>153</Lines>
  <Paragraphs>95</Paragraphs>
  <ScaleCrop>false</ScaleCrop>
  <Company/>
  <LinksUpToDate>false</LinksUpToDate>
  <CharactersWithSpaces>6418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Furusato Fabric Workshop</dc:creator>
  <cp:keywords/>
  <dc:description/>
  <cp:lastModifiedBy>Furusato Fabric Workshop</cp:lastModifiedBy>
  <cp:revision>2</cp:revision>
  <dcterms:created xsi:type="dcterms:W3CDTF">2026-08-14T00:00:00Z</dcterms:created>
  <dcterms:modified xsi:type="dcterms:W3CDTF">2026-08-14T00:00:00Z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etDate">
    <vt:lpwstr>2026-08-14T00:00:00Z</vt:lpwstr>
  </property>
  <property fmtid="{D5CDD505-2E9C-101B-9397-08002B2CF9AE}" pid="4" name="MSIP_Label_f42aa342-8706-4288-bd11-ebb85995028c_Method">
    <vt:lpwstr>Privileged</vt:lpwstr>
  </property>
  <property fmtid="{D5CDD505-2E9C-101B-9397-08002B2CF9AE}" pid="5" name="MSIP_Label_f42aa342-8706-4288-bd11-ebb85995028c_Name">
    <vt:lpwstr>General</vt:lpwstr>
  </property>
  <property fmtid="{D5CDD505-2E9C-101B-9397-08002B2CF9AE}" pid="6" name="MSIP_Label_f42aa342-8706-4288-bd11-ebb85995028c_SiteId">
    <vt:lpwstr>72f988bf-86f1-41af-91ab-2d7cd011db47</vt:lpwstr>
  </property>
  <property fmtid="{D5CDD505-2E9C-101B-9397-08002B2CF9AE}" pid="7" name="MSIP_Label_f42aa342-8706-4288-bd11-ebb85995028c_ContentBits">
    <vt:lpwstr>0</vt:lpwstr>
  </property>
</Properties>
</file>