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b w:val="0"/>
          <w:rFonts w:ascii="Noto Sans CJK JP" w:hAnsi="Noto Sans CJK JP" w:eastAsia="Noto Sans CJK JP" w:cs="Noto Sans CJK JP"/>
        </w:rPr>
        <w:t>Ontology V2・Data Agent 実評価と校正手順</w:t>
      </w:r>
    </w:p>
    <w:p>
      <w:r>
        <w:rPr>
          <w:b w:val="0"/>
          <w:sz w:val="28"/>
          <w:rFonts w:ascii="Noto Sans CJK JP" w:hAnsi="Noto Sans CJK JP" w:eastAsia="Noto Sans CJK JP" w:cs="Noto Sans CJK JP"/>
        </w:rPr>
        <w:t>Ontology V2 and Data Agent evaluation and calibration</w:t>
      </w:r>
    </w:p>
    <w:p>
      <w:r>
        <w:rPr>
          <w:b w:val="0"/>
          <w:rFonts w:ascii="Noto Sans CJK JP" w:hAnsi="Noto Sans CJK JP" w:eastAsia="Noto Sans CJK JP" w:cs="Noto Sans CJK JP"/>
        </w:rPr>
        <w:t>2026-10-15 · Asia/Tokyo · Furusato Workshop 3.0.0</w:t>
      </w:r>
    </w:p>
    <w:p>
      <w:pPr>
        <w:pStyle w:val="Heading1"/>
        <w:keepNext/>
        <w:pageBreakBefore w:val="0"/>
        <w:spacing w:before="520" w:after="120"/>
        <w:pBdr>
          <w:bottom w:val="single" w:sz="6" w:space="0" w:color="D0D7DE"/>
        </w:pBdr>
      </w:pPr>
      <w:r>
        <w:rPr>
          <w:rFonts w:ascii="Noto Sans CJK JP" w:hAnsi="Noto Sans CJK JP" w:eastAsia="Noto Sans CJK JP" w:cs="Noto Sans CJK JP"/>
        </w:rPr>
        <w:t>評価の範囲 / Evaluation scope</w:t>
      </w:r>
    </w:p>
    <w:p>
      <w:pPr>
        <w:spacing w:after="140"/>
      </w:pPr>
      <w:r>
        <w:rPr>
          <w:b w:val="0"/>
          <w:sz w:val="20"/>
          <w:rFonts w:ascii="Noto Sans CJK JP" w:hAnsi="Noto Sans CJK JP" w:eastAsia="Noto Sans CJK JP" w:cs="Noto Sans CJK JP"/>
        </w:rPr>
        <w:t>この別冊は 2026-10-15(日本時間)の個別配置に対する評価を扱います。回答内容はCodexによる補足判定と別レビューで確認し、厳格なnative実行判定と分けます。独立した人間のsign-off、将来の回答保証、サービス全体のバグ修正証明は含みません。</w:t>
      </w:r>
    </w:p>
    <w:p>
      <w:pPr>
        <w:spacing w:after="140"/>
      </w:pPr>
      <w:r>
        <w:rPr>
          <w:b w:val="0"/>
          <w:sz w:val="20"/>
          <w:rFonts w:ascii="Noto Sans CJK JP" w:hAnsi="Noto Sans CJK JP" w:eastAsia="Noto Sans CJK JP" w:cs="Noto Sans CJK JP"/>
        </w:rPr>
        <w:t>This dated report covers the individual deployment evaluated on 2026-10-15 (Japan time). Codex supplemental content judgments and a separate review remain distinct from strict native-execution judgments. It provides no independent human sign-off, future-answer guarantee or service-wide bug-fix certification.</w:t>
      </w:r>
    </w:p>
    <w:p>
      <w:pPr>
        <w:spacing w:after="140"/>
      </w:pPr>
      <w:r>
        <w:rPr>
          <w:b w:val="0"/>
          <w:sz w:val="20"/>
          <w:rFonts w:ascii="Noto Sans CJK JP" w:hAnsi="Noto Sans CJK JP" w:eastAsia="Noto Sans CJK JP" w:cs="Noto Sans CJK JP"/>
        </w:rPr>
        <w:t>標準構成はOntology 1件・Data Agent 1件です。資格確認2問5条件、初期51問296条件、必要に応じた限定確認最大8問、最終51問296条件を別フェーズとして扱います。未確認は分母に残して不合格側に数え、既定の確認質問分岐だけをNAとして扱います。</w:t>
      </w:r>
    </w:p>
    <w:p>
      <w:pPr>
        <w:spacing w:after="140"/>
      </w:pPr>
      <w:r>
        <w:rPr>
          <w:b w:val="0"/>
          <w:sz w:val="20"/>
          <w:rFonts w:ascii="Noto Sans CJK JP" w:hAnsi="Noto Sans CJK JP" w:eastAsia="Noto Sans CJK JP" w:cs="Noto Sans CJK JP"/>
        </w:rPr>
        <w:t>The standard configuration contains one Ontology and one Data Agent. Qualification (two questions/five conditions), baseline (51/296), up to eight targeted questions and final (51/296) are separate phases. Unclear conditions remain in the denominator as non-passes; only the predeclared clarification branch may be NA.</w:t>
      </w:r>
    </w:p>
    <w:p>
      <w:pPr>
        <w:pStyle w:val="Heading1"/>
        <w:keepNext/>
        <w:pageBreakBefore w:val="0"/>
        <w:spacing w:before="520" w:after="120"/>
        <w:pBdr>
          <w:bottom w:val="single" w:sz="6" w:space="0" w:color="D0D7DE"/>
        </w:pBdr>
      </w:pPr>
      <w:r>
        <w:rPr>
          <w:rFonts w:ascii="Noto Sans CJK JP" w:hAnsi="Noto Sans CJK JP" w:eastAsia="Noto Sans CJK JP" w:cs="Noto Sans CJK JP"/>
        </w:rPr>
        <w:t>補助条件とnative条件の集計 / Supplemental and native-condition counts</w:t>
      </w:r>
    </w:p>
    <w:tbl>
      <w:tblPr>
        <w:tblStyle w:val="TableGrid"/>
        <w:tblW w:type="auto" w:w="0"/>
        <w:jc w:val="center"/>
        <w:tblLayout w:type="fixed"/>
        <w:tblLook w:firstColumn="1" w:firstRow="1" w:lastColumn="0" w:lastRow="0" w:noHBand="0" w:noVBand="1" w:val="04A0"/>
        <w:tblCaption w:val="表 1"/>
        <w:tblDescription w:val="評価・校正 / Evaluation and calibration"/>
      </w:tblPr>
      <w:tblGrid>
        <w:gridCol w:w="1928"/>
        <w:gridCol w:w="1928"/>
        <w:gridCol w:w="1928"/>
        <w:gridCol w:w="1928"/>
        <w:gridCol w:w="1928"/>
      </w:tblGrid>
      <w:tr>
        <w:trPr>
          <w:tblHeader w:val="true"/>
          <w:cantSplit w:val="true"/>
        </w:trPr>
        <w:tc>
          <w:tcPr>
            <w:tcW w:type="dxa" w:w="2409"/>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フェーズ・群 / Phase and group</w:t>
            </w:r>
          </w:p>
        </w:tc>
        <w:tc>
          <w:tcPr>
            <w:tcW w:type="dxa" w:w="170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判定 / Review</w:t>
            </w:r>
          </w:p>
        </w:tc>
        <w:tc>
          <w:tcPr>
            <w:tcW w:type="dxa" w:w="15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質問/条件 / Questions/conditions</w:t>
            </w:r>
          </w:p>
        </w:tc>
        <w:tc>
          <w:tcPr>
            <w:tcW w:type="dxa" w:w="2209"/>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PASS/FAIL/UNCLEAR/NA</w:t>
            </w:r>
          </w:p>
        </w:tc>
        <w:tc>
          <w:tcPr>
            <w:tcW w:type="dxa" w:w="180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PASS/適用条件 / Applicable</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qualification</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5</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4/1/0/0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4/5 (80.00%)</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qualification</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5</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2/3/0/0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2/5 (40.00%)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original</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 / 252</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163/86/0/3</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163/249 (65.46%)</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original</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 / 252</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3/246/0/3</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3/249 (1.20%)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regression</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19 / 38</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32/4/2/0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32/38 (84.21%)</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regression</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19 / 38</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0/38/0/0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0/38 (0.00%)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heldout</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6</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5/6 (83.33%)</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heldout</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6</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0/6/0/0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0/6 (0.00%)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targeted</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 / 33</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26/7/0/0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26/33 (78.79%)</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targeted</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 / 33</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5/28/0/0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5/33 (15.15%)</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targeted</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 / 33</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30/3/0/0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30/33 (90.91%)</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targeted</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 / 33</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0/33/0/0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0/33 (0.00%)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original</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 / 252</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183/63/0/6</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183/246 (74.39%)</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original</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30 / 252</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6/240/0/6</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6/246 (2.44%)</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regression</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19 / 38</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37/1/0/0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37/38 (97.37%)</w:t>
            </w:r>
          </w:p>
        </w:tc>
      </w:tr>
      <w:tr>
        <w:trPr>
          <w:cantSplit w:val="true"/>
        </w:trPr>
        <w:tc>
          <w:tcPr>
            <w:tcW w:type="dxa" w:w="24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regression</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19 / 38</w:t>
            </w:r>
          </w:p>
        </w:tc>
        <w:tc>
          <w:tcPr>
            <w:tcW w:type="dxa" w:w="22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0/38/0/0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0/38 (0.00%)</w:t>
            </w:r>
          </w:p>
        </w:tc>
      </w:tr>
      <w:tr>
        <w:trPr>
          <w:cantSplit w:val="true"/>
        </w:trPr>
        <w:tc>
          <w:tcPr>
            <w:tcW w:type="dxa" w:w="24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heldout</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補助条件 / Supplemental conditions</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6</w:t>
            </w:r>
          </w:p>
        </w:tc>
        <w:tc>
          <w:tcPr>
            <w:tcW w:type="dxa" w:w="22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5/1/0/0</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5/6 (83.33%)</w:t>
            </w:r>
          </w:p>
        </w:tc>
      </w:tr>
      <w:tr>
        <w:trPr>
          <w:cantSplit w:val="true"/>
        </w:trPr>
        <w:tc>
          <w:tcPr>
            <w:tcW w:type="dxa" w:w="2409"/>
            <w:shd w:val="clear" w:color="auto" w:fill="EEF3F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heldout</w:t>
            </w:r>
          </w:p>
        </w:tc>
        <w:tc>
          <w:tcPr>
            <w:tcW w:type="dxa" w:w="1707"/>
            <w:shd w:val="clear" w:color="auto" w:fill="EEF3F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厳格native / Strict native</w:t>
            </w:r>
          </w:p>
        </w:tc>
        <w:tc>
          <w:tcPr>
            <w:tcW w:type="dxa" w:w="1506"/>
            <w:shd w:val="clear" w:color="auto" w:fill="EEF3F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 / 6</w:t>
            </w:r>
          </w:p>
        </w:tc>
        <w:tc>
          <w:tcPr>
            <w:tcW w:type="dxa" w:w="2209"/>
            <w:shd w:val="clear" w:color="auto" w:fill="EEF3F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0/6/0/0</w:t>
            </w:r>
          </w:p>
        </w:tc>
        <w:tc>
          <w:tcPr>
            <w:tcW w:type="dxa" w:w="1807"/>
            <w:shd w:val="clear" w:color="auto" w:fill="EEF3F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0/6 (0.00%)</w:t>
            </w:r>
          </w:p>
        </w:tc>
      </w:tr>
    </w:tbl>
    <w:p>
      <w:pPr>
        <w:pStyle w:val="Caption"/>
        <w:spacing w:before="40" w:after="200"/>
        <w:jc w:val="left"/>
      </w:pPr>
      <w:r>
        <w:rPr>
          <w:sz w:val="17"/>
          <w:rFonts w:ascii="Noto Sans CJK JP" w:hAnsi="Noto Sans CJK JP" w:eastAsia="Noto Sans CJK JP" w:cs="Noto Sans CJK JP"/>
        </w:rPr>
        <w:t>表 1　評価・校正 / Evaluation and calibration</w:t>
      </w:r>
    </w:p>
    <w:p>
      <w:pPr>
        <w:spacing w:after="140"/>
      </w:pPr>
      <w:r>
        <w:rPr>
          <w:b w:val="0"/>
          <w:sz w:val="20"/>
          <w:rFonts w:ascii="Noto Sans CJK JP" w:hAnsi="Noto Sans CJK JP" w:eastAsia="Noto Sans CJK JP" w:cs="Noto Sans CJK JP"/>
        </w:rPr>
        <w:t>補助条件の集計は、事実の正しさに加えて、指定されたID・見出し・説明などの必須項目と、条件で求めたソースやOntology経路の利用を含みます。この指標は回答内容・必須項目・取得経路の条件充足率であり、純粋な事実の正答率ではありません。事実誤り、回答項目の不足、取得経路の未達、取得中断や実行証拠の不足を区別して記録します。</w:t>
      </w:r>
    </w:p>
    <w:p>
      <w:pPr>
        <w:spacing w:after="140"/>
      </w:pPr>
      <w:r>
        <w:rPr>
          <w:b w:val="0"/>
          <w:sz w:val="20"/>
          <w:rFonts w:ascii="Noto Sans CJK JP" w:hAnsi="Noto Sans CJK JP" w:eastAsia="Noto Sans CJK JP" w:cs="Noto Sans CJK JP"/>
        </w:rPr>
        <w:t>Supplemental conditions cover factual correctness, required IDs, headings and explanations, and any required source or Ontology route. The metric is condition fulfillment across answer content, required elements and retrieval routes, not pure factual accuracy. Factual errors, omitted answer elements, unmet routes, interrupted captures and incomplete execution evidence are recorded separately.</w:t>
      </w:r>
    </w:p>
    <w:p>
      <w:pPr>
        <w:spacing w:after="140"/>
      </w:pPr>
      <w:r>
        <w:rPr>
          <w:b w:val="0"/>
          <w:sz w:val="20"/>
          <w:rFonts w:ascii="Noto Sans CJK JP" w:hAnsi="Noto Sans CJK JP" w:eastAsia="Noto Sans CJK JP" w:cs="Noto Sans CJK JP"/>
        </w:rPr>
        <w:t>資格確認の補助5条件には、回答の事実だけでなく、指定したOntologyの文脈とバインド先を実際に使う条件も含まれます。この達成率は純粋な事実の正答率ではありません。SQLへの代替経路で数値が正しくても、指定したOntology経路の条件は未達となる場合があります。元質問・回帰質問の採点条件は変更していません。</w:t>
      </w:r>
    </w:p>
    <w:p>
      <w:pPr>
        <w:spacing w:after="140"/>
      </w:pPr>
      <w:r>
        <w:rPr>
          <w:b w:val="0"/>
          <w:sz w:val="20"/>
          <w:rFonts w:ascii="Noto Sans CJK JP" w:hAnsi="Noto Sans CJK JP" w:eastAsia="Noto Sans CJK JP" w:cs="Noto Sans CJK JP"/>
        </w:rPr>
        <w:t>The five supplemental qualification conditions cover both factual content and requested use of the specified Ontology context and its bound source. Their fulfillment rate is not a pure factual-accuracy rate. Correct values through a SQL fallback can still leave the requested Ontology-route condition unmet. Original and regression scoring conditions are unchanged.</w:t>
      </w:r>
    </w:p>
    <w:p>
      <w:pPr>
        <w:pStyle w:val="Heading1"/>
        <w:keepNext/>
        <w:pageBreakBefore w:val="0"/>
        <w:spacing w:before="520" w:after="120"/>
        <w:pBdr>
          <w:bottom w:val="single" w:sz="6" w:space="0" w:color="D0D7DE"/>
        </w:pBdr>
      </w:pPr>
      <w:r>
        <w:rPr>
          <w:rFonts w:ascii="Noto Sans CJK JP" w:hAnsi="Noto Sans CJK JP" w:eastAsia="Noto Sans CJK JP" w:cs="Noto Sans CJK JP"/>
        </w:rPr>
        <w:t>対応する条件だけの比較 / Exact paired-condition comparison</w:t>
      </w:r>
    </w:p>
    <w:tbl>
      <w:tblPr>
        <w:tblStyle w:val="TableGrid"/>
        <w:tblW w:type="auto" w:w="0"/>
        <w:jc w:val="center"/>
        <w:tblLayout w:type="fixed"/>
        <w:tblLook w:firstColumn="1" w:firstRow="1" w:lastColumn="0" w:lastRow="0" w:noHBand="0" w:noVBand="1" w:val="04A0"/>
        <w:tblCaption w:val="表 2"/>
        <w:tblDescription w:val="評価・校正 / Evaluation and calibration"/>
      </w:tblPr>
      <w:tblGrid>
        <w:gridCol w:w="2409"/>
        <w:gridCol w:w="2409"/>
        <w:gridCol w:w="2409"/>
        <w:gridCol w:w="2409"/>
      </w:tblGrid>
      <w:tr>
        <w:trPr>
          <w:tblHeader w:val="true"/>
          <w:cantSplit w:val="true"/>
        </w:trPr>
        <w:tc>
          <w:tcPr>
            <w:tcW w:type="dxa" w:w="2811"/>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対象 / Scope</w:t>
            </w:r>
          </w:p>
        </w:tc>
        <w:tc>
          <w:tcPr>
            <w:tcW w:type="dxa" w:w="2108"/>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初期 / Baseline</w:t>
            </w:r>
          </w:p>
        </w:tc>
        <w:tc>
          <w:tcPr>
            <w:tcW w:type="dxa" w:w="2108"/>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最終 / Final</w:t>
            </w:r>
          </w:p>
        </w:tc>
        <w:tc>
          <w:tcPr>
            <w:tcW w:type="dxa" w:w="2610"/>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差 / Change</w:t>
            </w:r>
          </w:p>
        </w:tc>
      </w:tr>
      <w:tr>
        <w:trPr>
          <w:cantSplit w:val="true"/>
        </w:trPr>
        <w:tc>
          <w:tcPr>
            <w:tcW w:type="dxa" w:w="2811"/>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281 conditions</w:t>
            </w:r>
          </w:p>
        </w:tc>
        <w:tc>
          <w:tcPr>
            <w:tcW w:type="dxa" w:w="2108"/>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189/281 (67.26%)</w:t>
            </w:r>
          </w:p>
        </w:tc>
        <w:tc>
          <w:tcPr>
            <w:tcW w:type="dxa" w:w="2108"/>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217/281 (77.22%)</w:t>
            </w:r>
          </w:p>
        </w:tc>
        <w:tc>
          <w:tcPr>
            <w:tcW w:type="dxa" w:w="2610"/>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9.96 pp</w:t>
            </w:r>
          </w:p>
        </w:tc>
      </w:tr>
    </w:tbl>
    <w:p>
      <w:pPr>
        <w:pStyle w:val="Caption"/>
        <w:spacing w:before="40" w:after="200"/>
        <w:jc w:val="left"/>
      </w:pPr>
      <w:r>
        <w:rPr>
          <w:sz w:val="17"/>
          <w:rFonts w:ascii="Noto Sans CJK JP" w:hAnsi="Noto Sans CJK JP" w:eastAsia="Noto Sans CJK JP" w:cs="Noto Sans CJK JP"/>
        </w:rPr>
        <w:t>表 2　評価・校正 / Evaluation and calibration</w:t>
      </w:r>
    </w:p>
    <w:p>
      <w:pPr>
        <w:spacing w:after="140"/>
      </w:pPr>
      <w:r>
        <w:rPr>
          <w:b w:val="0"/>
          <w:sz w:val="20"/>
          <w:rFonts w:ascii="Noto Sans CJK JP" w:hAnsi="Noto Sans CJK JP" w:eastAsia="Noto Sans CJK JP" w:cs="Noto Sans CJK JP"/>
        </w:rPr>
        <w:t>対応比較の元母集団は元質問と回帰質問の290条件です。質問・条件・業務データと前提が一致する条件を正確なキーで対応付け、除外は両フェーズに同じように適用します。別々の未使用問題群6条件は、この比較に含めません。数値は補助条件の充足を観測したもので、指示修正の因果効果を証明しません。同じ構成の前後比較は反復確認として扱います。</w:t>
      </w:r>
    </w:p>
    <w:p>
      <w:pPr>
        <w:spacing w:after="140"/>
      </w:pPr>
      <w:r>
        <w:rPr>
          <w:b w:val="0"/>
          <w:sz w:val="20"/>
          <w:rFonts w:ascii="Noto Sans CJK JP" w:hAnsi="Noto Sans CJK JP" w:eastAsia="Noto Sans CJK JP" w:cs="Noto Sans CJK JP"/>
        </w:rPr>
        <w:t>The paired population starts with 290 original and regression conditions. Exact keys match equal questions, criteria, business data and eligible premises; exclusions are symmetric. The two disjoint held-out sets (six conditions each) do not enter this comparison. These observations measure supplemental-condition fulfillment, not a causal effect of instruction changes. An unchanged-configuration comparison measures repeatability.</w:t>
      </w:r>
    </w:p>
    <w:tbl>
      <w:tblPr>
        <w:tblStyle w:val="TableGrid"/>
        <w:tblW w:type="auto" w:w="0"/>
        <w:jc w:val="center"/>
        <w:tblLayout w:type="fixed"/>
        <w:tblLook w:firstColumn="1" w:firstRow="1" w:lastColumn="0" w:lastRow="0" w:noHBand="0" w:noVBand="1" w:val="04A0"/>
        <w:tblCaption w:val="表 3"/>
        <w:tblDescription w:val="評価・校正 / Evaluation and calibration"/>
      </w:tblPr>
      <w:tblGrid>
        <w:gridCol w:w="4819"/>
        <w:gridCol w:w="4819"/>
      </w:tblGrid>
      <w:tr>
        <w:trPr>
          <w:tblHeader w:val="true"/>
          <w:cantSplit w:val="true"/>
        </w:trPr>
        <w:tc>
          <w:tcPr>
            <w:tcW w:type="dxa" w:w="2811"/>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初期→最終 / Baseline→final</w:t>
            </w:r>
          </w:p>
        </w:tc>
        <w:tc>
          <w:tcPr>
            <w:tcW w:type="dxa" w:w="682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条件数 / Conditions</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PASS → PASS</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187</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PASS → FAIL</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PASS → UNCLEAR</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FAIL → PASS</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28</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FAIL → FAIL</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62</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FAIL → UNCLEAR</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UNCLEAR → PASS</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UNCLEAR → FAIL</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2811"/>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UNCLEAR → UNCLEAR</w:t>
            </w:r>
          </w:p>
        </w:tc>
        <w:tc>
          <w:tcPr>
            <w:tcW w:type="dxa" w:w="6827"/>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bl>
    <w:p>
      <w:pPr>
        <w:pStyle w:val="Caption"/>
        <w:spacing w:before="40" w:after="200"/>
        <w:jc w:val="left"/>
      </w:pPr>
      <w:r>
        <w:rPr>
          <w:sz w:val="17"/>
          <w:rFonts w:ascii="Noto Sans CJK JP" w:hAnsi="Noto Sans CJK JP" w:eastAsia="Noto Sans CJK JP" w:cs="Noto Sans CJK JP"/>
        </w:rPr>
        <w:t>表 3　評価・校正 / Evaluation and calibration</w:t>
      </w:r>
    </w:p>
    <w:p>
      <w:pPr>
        <w:spacing w:after="140"/>
      </w:pPr>
      <w:r>
        <w:rPr>
          <w:b w:val="0"/>
          <w:sz w:val="20"/>
          <w:rFonts w:ascii="Noto Sans CJK JP" w:hAnsi="Noto Sans CJK JP" w:eastAsia="Noto Sans CJK JP" w:cs="Noto Sans CJK JP"/>
        </w:rPr>
        <w:t>9条件を両側から除外: 既定の確認質問分岐で適用外になった数値条件を、同じ条件キーで両側から除外しました。</w:t>
      </w:r>
    </w:p>
    <w:p>
      <w:pPr>
        <w:spacing w:after="140"/>
      </w:pPr>
      <w:r>
        <w:rPr>
          <w:b w:val="0"/>
          <w:sz w:val="20"/>
          <w:rFonts w:ascii="Noto Sans CJK JP" w:hAnsi="Noto Sans CJK JP" w:eastAsia="Noto Sans CJK JP" w:cs="Noto Sans CJK JP"/>
        </w:rPr>
        <w:t>Symmetrically excluded 9 conditions: Numerical conditions made inapplicable by the predeclared clarification branch were excluded symmetrically by the same condition keys.</w:t>
      </w:r>
    </w:p>
    <w:p>
      <w:pPr>
        <w:pStyle w:val="Heading1"/>
        <w:keepNext/>
        <w:pageBreakBefore w:val="0"/>
        <w:spacing w:before="520" w:after="120"/>
        <w:pBdr>
          <w:bottom w:val="single" w:sz="6" w:space="0" w:color="D0D7DE"/>
        </w:pBdr>
      </w:pPr>
      <w:r>
        <w:rPr>
          <w:rFonts w:ascii="Noto Sans CJK JP" w:hAnsi="Noto Sans CJK JP" w:eastAsia="Noto Sans CJK JP" w:cs="Noto Sans CJK JP"/>
        </w:rPr>
        <w:t>取得と内部実行の状態 / Capture and internal-execution status</w:t>
      </w:r>
    </w:p>
    <w:tbl>
      <w:tblPr>
        <w:tblStyle w:val="TableGrid"/>
        <w:tblW w:type="auto" w:w="0"/>
        <w:jc w:val="center"/>
        <w:tblLayout w:type="fixed"/>
        <w:tblLook w:firstColumn="1" w:firstRow="1" w:lastColumn="0" w:lastRow="0" w:noHBand="0" w:noVBand="1" w:val="04A0"/>
        <w:tblCaption w:val="表 4"/>
        <w:tblDescription w:val="評価・校正 / Evaluation and calibration"/>
      </w:tblPr>
      <w:tblGrid>
        <w:gridCol w:w="1377"/>
        <w:gridCol w:w="1377"/>
        <w:gridCol w:w="1377"/>
        <w:gridCol w:w="1377"/>
        <w:gridCol w:w="1377"/>
        <w:gridCol w:w="1377"/>
        <w:gridCol w:w="1377"/>
      </w:tblGrid>
      <w:tr>
        <w:trPr>
          <w:tblHeader w:val="true"/>
          <w:cantSplit w:val="true"/>
        </w:trPr>
        <w:tc>
          <w:tcPr>
            <w:tcW w:type="dxa" w:w="14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フェーズ / Phase</w:t>
            </w:r>
          </w:p>
        </w:tc>
        <w:tc>
          <w:tcPr>
            <w:tcW w:type="dxa" w:w="1004"/>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登録 / Registered</w:t>
            </w:r>
          </w:p>
        </w:tc>
        <w:tc>
          <w:tcPr>
            <w:tcW w:type="dxa" w:w="14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既知POST / Known POST</w:t>
            </w:r>
          </w:p>
        </w:tc>
        <w:tc>
          <w:tcPr>
            <w:tcW w:type="dxa" w:w="180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不明POST上限 / Uncertain upper bound</w:t>
            </w:r>
          </w:p>
        </w:tc>
        <w:tc>
          <w:tcPr>
            <w:tcW w:type="dxa" w:w="14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未確定取得 / Unfinalized</w:t>
            </w:r>
          </w:p>
        </w:tc>
        <w:tc>
          <w:tcPr>
            <w:tcW w:type="dxa" w:w="1305"/>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終端応答 / Terminal</w:t>
            </w:r>
          </w:p>
        </w:tc>
        <w:tc>
          <w:tcPr>
            <w:tcW w:type="dxa" w:w="1305"/>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保持失敗 / Retained failures</w:t>
            </w:r>
          </w:p>
        </w:tc>
      </w:tr>
      <w:tr>
        <w:trPr>
          <w:cantSplit w:val="true"/>
        </w:trPr>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w:t>
            </w:r>
          </w:p>
        </w:tc>
        <w:tc>
          <w:tcPr>
            <w:tcW w:type="dxa" w:w="1004"/>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305"/>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c>
          <w:tcPr>
            <w:tcW w:type="dxa" w:w="1305"/>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w:t>
            </w:r>
          </w:p>
        </w:tc>
        <w:tc>
          <w:tcPr>
            <w:tcW w:type="dxa" w:w="1004"/>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w:t>
            </w:r>
          </w:p>
        </w:tc>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50</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c>
          <w:tcPr>
            <w:tcW w:type="dxa" w:w="1305"/>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50</w:t>
            </w:r>
          </w:p>
        </w:tc>
        <w:tc>
          <w:tcPr>
            <w:tcW w:type="dxa" w:w="1305"/>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9</w:t>
            </w:r>
          </w:p>
        </w:tc>
      </w:tr>
      <w:tr>
        <w:trPr>
          <w:cantSplit w:val="true"/>
        </w:trPr>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w:t>
            </w:r>
          </w:p>
        </w:tc>
        <w:tc>
          <w:tcPr>
            <w:tcW w:type="dxa" w:w="1004"/>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8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4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305"/>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305"/>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w:t>
            </w:r>
          </w:p>
        </w:tc>
        <w:tc>
          <w:tcPr>
            <w:tcW w:type="dxa" w:w="1004"/>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8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4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305"/>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305"/>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r>
      <w:tr>
        <w:trPr>
          <w:cantSplit w:val="true"/>
        </w:trPr>
        <w:tc>
          <w:tcPr>
            <w:tcW w:type="dxa" w:w="14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w:t>
            </w:r>
          </w:p>
        </w:tc>
        <w:tc>
          <w:tcPr>
            <w:tcW w:type="dxa" w:w="1004"/>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w:t>
            </w:r>
          </w:p>
        </w:tc>
        <w:tc>
          <w:tcPr>
            <w:tcW w:type="dxa" w:w="14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w:t>
            </w:r>
          </w:p>
        </w:tc>
        <w:tc>
          <w:tcPr>
            <w:tcW w:type="dxa" w:w="1807"/>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4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305"/>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w:t>
            </w:r>
          </w:p>
        </w:tc>
        <w:tc>
          <w:tcPr>
            <w:tcW w:type="dxa" w:w="1305"/>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8</w:t>
            </w:r>
          </w:p>
        </w:tc>
      </w:tr>
    </w:tbl>
    <w:p>
      <w:pPr>
        <w:pStyle w:val="Caption"/>
        <w:spacing w:before="40" w:after="200"/>
        <w:jc w:val="left"/>
      </w:pPr>
      <w:r>
        <w:rPr>
          <w:sz w:val="17"/>
          <w:rFonts w:ascii="Noto Sans CJK JP" w:hAnsi="Noto Sans CJK JP" w:eastAsia="Noto Sans CJK JP" w:cs="Noto Sans CJK JP"/>
        </w:rPr>
        <w:t>表 4　評価・校正 / Evaluation and calibration</w:t>
      </w:r>
    </w:p>
    <w:tbl>
      <w:tblPr>
        <w:tblStyle w:val="TableGrid"/>
        <w:tblW w:type="auto" w:w="0"/>
        <w:jc w:val="center"/>
        <w:tblLayout w:type="fixed"/>
        <w:tblLook w:firstColumn="1" w:firstRow="1" w:lastColumn="0" w:lastRow="0" w:noHBand="0" w:noVBand="1" w:val="04A0"/>
        <w:tblCaption w:val="表 5"/>
        <w:tblDescription w:val="評価・校正 / Evaluation and calibration"/>
      </w:tblPr>
      <w:tblGrid>
        <w:gridCol w:w="1606"/>
        <w:gridCol w:w="1606"/>
        <w:gridCol w:w="1606"/>
        <w:gridCol w:w="1606"/>
        <w:gridCol w:w="1606"/>
        <w:gridCol w:w="1606"/>
      </w:tblGrid>
      <w:tr>
        <w:trPr>
          <w:tblHeader w:val="true"/>
          <w:cantSplit w:val="true"/>
        </w:trPr>
        <w:tc>
          <w:tcPr>
            <w:tcW w:type="dxa" w:w="15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フェーズ / Phase</w:t>
            </w:r>
          </w:p>
        </w:tc>
        <w:tc>
          <w:tcPr>
            <w:tcW w:type="dxa" w:w="1104"/>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応答: 完了/失敗/取消/不完全/不明 / Response status</w:t>
            </w:r>
          </w:p>
        </w:tc>
        <w:tc>
          <w:tcPr>
            <w:tcW w:type="dxa" w:w="2309"/>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内部エラー / Internal errors</w:t>
            </w:r>
          </w:p>
        </w:tc>
        <w:tc>
          <w:tcPr>
            <w:tcW w:type="dxa" w:w="15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証拠不完全 / Incomplete evidence</w:t>
            </w:r>
          </w:p>
        </w:tc>
        <w:tc>
          <w:tcPr>
            <w:tcW w:type="dxa" w:w="170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ソース実行成功 / Source execution</w:t>
            </w:r>
          </w:p>
        </w:tc>
        <w:tc>
          <w:tcPr>
            <w:tcW w:type="dxa" w:w="1506"/>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厳格採点の質問合格 / Strict question passes</w:t>
            </w:r>
          </w:p>
        </w:tc>
      </w:tr>
      <w:tr>
        <w:trPr>
          <w:cantSplit w:val="true"/>
        </w:trPr>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w:t>
            </w:r>
          </w:p>
        </w:tc>
        <w:tc>
          <w:tcPr>
            <w:tcW w:type="dxa" w:w="1104"/>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2/0/0/0/0</w:t>
            </w:r>
          </w:p>
        </w:tc>
        <w:tc>
          <w:tcPr>
            <w:tcW w:type="dxa" w:w="23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w:t>
            </w:r>
          </w:p>
        </w:tc>
        <w:tc>
          <w:tcPr>
            <w:tcW w:type="dxa" w:w="1104"/>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50/0/0/0/0</w:t>
            </w:r>
          </w:p>
        </w:tc>
        <w:tc>
          <w:tcPr>
            <w:tcW w:type="dxa" w:w="23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6</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46</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28</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r>
      <w:tr>
        <w:trPr>
          <w:cantSplit w:val="true"/>
        </w:trPr>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w:t>
            </w:r>
          </w:p>
        </w:tc>
        <w:tc>
          <w:tcPr>
            <w:tcW w:type="dxa" w:w="1104"/>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4/0/0/0/0</w:t>
            </w:r>
          </w:p>
        </w:tc>
        <w:tc>
          <w:tcPr>
            <w:tcW w:type="dxa" w:w="230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w:t>
            </w:r>
          </w:p>
        </w:tc>
        <w:tc>
          <w:tcPr>
            <w:tcW w:type="dxa" w:w="170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c>
          <w:tcPr>
            <w:tcW w:type="dxa" w:w="1506"/>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w:t>
            </w:r>
          </w:p>
        </w:tc>
        <w:tc>
          <w:tcPr>
            <w:tcW w:type="dxa" w:w="1104"/>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4/0/0/0/0</w:t>
            </w:r>
          </w:p>
        </w:tc>
        <w:tc>
          <w:tcPr>
            <w:tcW w:type="dxa" w:w="2309"/>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w:t>
            </w:r>
          </w:p>
        </w:tc>
        <w:tc>
          <w:tcPr>
            <w:tcW w:type="dxa" w:w="1506"/>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w:t>
            </w:r>
          </w:p>
        </w:tc>
      </w:tr>
      <w:tr>
        <w:trPr>
          <w:cantSplit w:val="true"/>
        </w:trPr>
        <w:tc>
          <w:tcPr>
            <w:tcW w:type="dxa" w:w="15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w:t>
            </w:r>
          </w:p>
        </w:tc>
        <w:tc>
          <w:tcPr>
            <w:tcW w:type="dxa" w:w="1104"/>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51/0/0/0/0</w:t>
            </w:r>
          </w:p>
        </w:tc>
        <w:tc>
          <w:tcPr>
            <w:tcW w:type="dxa" w:w="2309"/>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w:t>
            </w:r>
          </w:p>
        </w:tc>
        <w:tc>
          <w:tcPr>
            <w:tcW w:type="dxa" w:w="15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49</w:t>
            </w:r>
          </w:p>
        </w:tc>
        <w:tc>
          <w:tcPr>
            <w:tcW w:type="dxa" w:w="1707"/>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27</w:t>
            </w:r>
          </w:p>
        </w:tc>
        <w:tc>
          <w:tcPr>
            <w:tcW w:type="dxa" w:w="1506"/>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w:t>
            </w:r>
          </w:p>
        </w:tc>
      </w:tr>
    </w:tbl>
    <w:p>
      <w:pPr>
        <w:pStyle w:val="Caption"/>
        <w:spacing w:before="40" w:after="200"/>
        <w:jc w:val="left"/>
      </w:pPr>
      <w:r>
        <w:rPr>
          <w:sz w:val="17"/>
          <w:rFonts w:ascii="Noto Sans CJK JP" w:hAnsi="Noto Sans CJK JP" w:eastAsia="Noto Sans CJK JP" w:cs="Noto Sans CJK JP"/>
        </w:rPr>
        <w:t>表 5　評価・校正 / Evaluation and calibration</w:t>
      </w:r>
    </w:p>
    <w:p>
      <w:pPr>
        <w:spacing w:after="140"/>
      </w:pPr>
      <w:r>
        <w:rPr>
          <w:b w:val="0"/>
          <w:sz w:val="20"/>
          <w:rFonts w:ascii="Noto Sans CJK JP" w:hAnsi="Noto Sans CJK JP" w:eastAsia="Noto Sans CJK JP" w:cs="Noto Sans CJK JP"/>
        </w:rPr>
        <w:t>登録枠、通常のnative recordに残った送信数、不明な送信の上限、未確定の取得、終端応答を区別します。未確定の取得から送信や成功を推定しません。native recordの状態とResponseの状態は別に集計し、未送信・不明・失敗も全条件の母数に残します。</w:t>
      </w:r>
    </w:p>
    <w:p>
      <w:pPr>
        <w:spacing w:after="140"/>
      </w:pPr>
      <w:r>
        <w:rPr>
          <w:b w:val="0"/>
          <w:sz w:val="20"/>
          <w:rFonts w:ascii="Noto Sans CJK JP" w:hAnsi="Noto Sans CJK JP" w:eastAsia="Noto Sans CJK JP" w:cs="Noto Sans CJK JP"/>
        </w:rPr>
        <w:t>Registered slots, submission counts in ordinary native records, uncertain submission upper bounds, unfinalized captures and terminal Responses are separate. Unfinalized captures never imply submission or success. Native record statuses and Response statuses are counted independently; unsubmitted, unknown and failed slots remain in the full condition denominator.</w:t>
      </w:r>
    </w:p>
    <w:p>
      <w:pPr>
        <w:spacing w:after="140"/>
      </w:pPr>
      <w:r>
        <w:rPr>
          <w:b w:val="0"/>
          <w:sz w:val="20"/>
          <w:rFonts w:ascii="Noto Sans CJK JP" w:hAnsi="Noto Sans CJK JP" w:eastAsia="Noto Sans CJK JP" w:cs="Noto Sans CJK JP"/>
        </w:rPr>
        <w:t>全フェーズでHTTP 300秒、capture 900秒、定義取得600秒を固定し、質問ごとに新しい会話を使用します。消費済み枠を再送して良い回答だけを採用しません。HTTP成功やResponse完了と、内部クエリ成功は別です。内部エラーと証拠不完全の件数は重複する場合があり、合計して質問数とはしません。</w:t>
      </w:r>
    </w:p>
    <w:p>
      <w:pPr>
        <w:spacing w:after="140"/>
      </w:pPr>
      <w:r>
        <w:rPr>
          <w:b w:val="0"/>
          <w:sz w:val="20"/>
          <w:rFonts w:ascii="Noto Sans CJK JP" w:hAnsi="Noto Sans CJK JP" w:eastAsia="Noto Sans CJK JP" w:cs="Noto Sans CJK JP"/>
        </w:rPr>
        <w:t>All phases freeze HTTP/capture/definition timeouts at 300/900/600 seconds and use a new conversation per question. Consumed slots are never resubmitted to select favorable answers. HTTP or Response completion does not prove internal-query success. Internal-error and evidence-incomplete counts may overlap and must not be summed into question counts.</w:t>
      </w:r>
    </w:p>
    <w:p>
      <w:pPr>
        <w:spacing w:after="140"/>
      </w:pPr>
      <w:r>
        <w:rPr>
          <w:b w:val="0"/>
          <w:sz w:val="20"/>
          <w:rFonts w:ascii="Noto Sans CJK JP" w:hAnsi="Noto Sans CJK JP" w:eastAsia="Noto Sans CJK JP" w:cs="Noto Sans CJK JP"/>
        </w:rPr>
        <w:t>厳格採点の質問合格は、変更していない採点器が質問全体を合格とした数です。正当な確認質問や拒否ではクエリが不要な場合があります。ソース実行成功、回復済みを含む内部エラー、証拠不完全は別の観測件数であり、合計や差から合格との重なりを推定しません。元の条件別判定とエラーを保持します。</w:t>
      </w:r>
    </w:p>
    <w:p>
      <w:pPr>
        <w:spacing w:after="140"/>
      </w:pPr>
      <w:r>
        <w:rPr>
          <w:b w:val="0"/>
          <w:sz w:val="20"/>
          <w:rFonts w:ascii="Noto Sans CJK JP" w:hAnsi="Noto Sans CJK JP" w:eastAsia="Noto Sans CJK JP" w:cs="Noto Sans CJK JP"/>
        </w:rPr>
        <w:t>Strict question passes count whole-question passes from the unchanged grader. A justified clarification or refusal can require no query. Successful source execution, observed internal errors including recovered errors, and incomplete evidence are separate observations; their totals or differences do not establish overlap with passes. Original condition judgments and errors are retained.</w:t>
      </w:r>
    </w:p>
    <w:p>
      <w:pPr>
        <w:pStyle w:val="Heading1"/>
        <w:keepNext/>
        <w:pageBreakBefore w:val="0"/>
        <w:spacing w:before="520" w:after="120"/>
        <w:pBdr>
          <w:bottom w:val="single" w:sz="6" w:space="0" w:color="D0D7DE"/>
        </w:pBdr>
      </w:pPr>
      <w:r>
        <w:rPr>
          <w:rFonts w:ascii="Noto Sans CJK JP" w:hAnsi="Noto Sans CJK JP" w:eastAsia="Noto Sans CJK JP" w:cs="Noto Sans CJK JP"/>
        </w:rPr>
        <w:t>検証した修正 / Verified changes</w:t>
      </w:r>
    </w:p>
    <w:p>
      <w:pPr>
        <w:spacing w:after="140"/>
      </w:pPr>
      <w:r>
        <w:rPr>
          <w:b w:val="0"/>
          <w:sz w:val="20"/>
          <w:rFonts w:ascii="Noto Sans CJK JP" w:hAnsi="Noto Sans CJK JP" w:eastAsia="Noto Sans CJK JP" w:cs="Noto Sans CJK JP"/>
        </w:rPr>
        <w:t>指定された旧フォルダーの18アイテムを削除し、中身が0件になったことを確認しました。新フォルダーには18アイテムを配置しました。旧資産と一時資産のうち復元可能な9件も対象を確認して削除し、公開APIとnativeの両方でごみ箱が0件であること、現行18アイテムと主要定義・Report接続が維持されていることを確認しました。親フォルダーは保持しています。</w:t>
      </w:r>
    </w:p>
    <w:p>
      <w:pPr>
        <w:spacing w:after="140"/>
      </w:pPr>
      <w:r>
        <w:rPr>
          <w:b w:val="0"/>
          <w:sz w:val="20"/>
          <w:rFonts w:ascii="Noto Sans CJK JP" w:hAnsi="Noto Sans CJK JP" w:eastAsia="Noto Sans CJK JP" w:cs="Noto Sans CJK JP"/>
        </w:rPr>
        <w:t>The 18 items in the designated old folder were removed and its contents were verified empty. The designated new folder contains 18 items. Nine reviewed recoverable old or temporary assets were also removed; both public and native recycle-bin views were empty afterward. The 18 current items, key definitions and Report binding were preserved, together with the parent folders.</w:t>
      </w:r>
    </w:p>
    <w:p>
      <w:pPr>
        <w:spacing w:after="140"/>
      </w:pPr>
      <w:r>
        <w:rPr>
          <w:b w:val="0"/>
          <w:sz w:val="20"/>
          <w:rFonts w:ascii="Noto Sans CJK JP" w:hAnsi="Noto Sans CJK JP" w:eastAsia="Noto Sans CJK JP" w:cs="Noto Sans CJK JP"/>
        </w:rPr>
        <w:t>現行18アイテムの内訳は、Notebook01–05の5件、Lakehouse1件、SQL Endpoint1件、Eventhouse2件、KQL Database2件、Pipeline1件、Activator1件、Ontology1件、Graph Model1件、Semantic Model1件、Data Agent1件、Report1件です。2組のEventhouse／KQL Databaseは運用取り込み用とOntologyの管理対象であり、Ontologyを複数作成した構成ではありません。</w:t>
      </w:r>
    </w:p>
    <w:p>
      <w:pPr>
        <w:spacing w:after="140"/>
      </w:pPr>
      <w:r>
        <w:rPr>
          <w:b w:val="0"/>
          <w:sz w:val="20"/>
          <w:rFonts w:ascii="Noto Sans CJK JP" w:hAnsi="Noto Sans CJK JP" w:eastAsia="Noto Sans CJK JP" w:cs="Noto Sans CJK JP"/>
        </w:rPr>
        <w:t>The 18 current items comprise five Notebooks 01–05, one Lakehouse, one SQL Endpoint, two Eventhouses, two KQL Databases, one Pipeline, one Activator, one Ontology, one Graph Model, one Semantic Model, one Data Agent and one Report. The Eventhouse/KQL Database pairs serve operational ingestion and the Ontology-managed resources. There is exactly one Ontology and one Data Agent.</w:t>
      </w:r>
    </w:p>
    <w:p>
      <w:pPr>
        <w:spacing w:after="140"/>
      </w:pPr>
      <w:r>
        <w:rPr>
          <w:b w:val="0"/>
          <w:sz w:val="20"/>
          <w:rFonts w:ascii="Noto Sans CJK JP" w:hAnsi="Noto Sans CJK JP" w:eastAsia="Noto Sans CJK JP" w:cs="Noto Sans CJK JP"/>
        </w:rPr>
        <w:t>Notebook01は実際のSpark処理の完了と20の静的テーブルを確認しました。一方、ジョブの外側の実行記録にはCapacityNotActiveによる失敗が残っているため、その記録を成功に書き換えず保持しています。Notebook05は確定したpreviewを使ったapplyがCompletedとなり、品質処理後の29テーブルを検証しました。Notebookの配置と、同じ処理を実行するCLIによる構成検証は区別して記録しています。</w:t>
      </w:r>
    </w:p>
    <w:p>
      <w:pPr>
        <w:spacing w:after="140"/>
      </w:pPr>
      <w:r>
        <w:rPr>
          <w:b w:val="0"/>
          <w:sz w:val="20"/>
          <w:rFonts w:ascii="Noto Sans CJK JP" w:hAnsi="Noto Sans CJK JP" w:eastAsia="Noto Sans CJK JP" w:cs="Noto Sans CJK JP"/>
        </w:rPr>
        <w:t>Notebook 01’s actual Spark writer completed and its 20 static tables were verified. Its outer job record retained a CapacityNotActive failure; that record was preserved rather than relabelled. Notebook 05 completed its apply against the fixed preview, and 29 tables after quality processing were verified. Notebook placement and equivalent CLI configuration checks are recorded separately.</w:t>
      </w:r>
    </w:p>
    <w:p>
      <w:pPr>
        <w:spacing w:after="140"/>
      </w:pPr>
      <w:r>
        <w:rPr>
          <w:b w:val="0"/>
          <w:sz w:val="20"/>
          <w:rFonts w:ascii="Noto Sans CJK JP" w:hAnsi="Noto Sans CJK JP" w:eastAsia="Noto Sans CJK JP" w:cs="Noto Sans CJK JP"/>
        </w:rPr>
        <w:t>後続の検証期間では3つの増分ファイルそれぞれについて、FileCreatedイベント、Activatorのactivation、新規Completed Pipelineジョブ、Copy処理、KQLの件数・金額を関連付け、自動取り込みの成功を確認しました。各ファイル5,000行、合計15,000行です。検証後にルールをStopし、停止状態と元のPipeline、監視対象ファイルの内容を確認しました。最初の未成立の試行は別記録として保持しています。待機やSaveのいずれかだけが成功原因だったとは断定していません。</w:t>
      </w:r>
    </w:p>
    <w:p>
      <w:pPr>
        <w:spacing w:after="140"/>
      </w:pPr>
      <w:r>
        <w:rPr>
          <w:b w:val="0"/>
          <w:sz w:val="20"/>
          <w:rFonts w:ascii="Noto Sans CJK JP" w:hAnsi="Noto Sans CJK JP" w:eastAsia="Noto Sans CJK JP" w:cs="Noto Sans CJK JP"/>
        </w:rPr>
        <w:t>In the later verification epoch, each of the three increment files had a correlated FileCreated event, Activator activation, new Completed Pipeline job, Copy activity and reconciled KQL counts and amounts. Each file contributed 5,000 rows, totalling 15,000. The rule was stopped afterward, and its stopped state, original Pipeline and watched file contents were verified. The unsuccessful initial trial remains a separate record. The evidence does not isolate waiting or Save alone as the cause of the later success.</w:t>
      </w:r>
    </w:p>
    <w:p>
      <w:pPr>
        <w:spacing w:after="140"/>
      </w:pPr>
      <w:r>
        <w:rPr>
          <w:b w:val="0"/>
          <w:sz w:val="20"/>
          <w:rFonts w:ascii="Noto Sans CJK JP" w:hAnsi="Noto Sans CJK JP" w:eastAsia="Noto Sans CJK JP" w:cs="Noto Sans CJK JP"/>
        </w:rPr>
        <w:t>Reportは同じSemantic Modelへの接続を確認し、KPIの省略表示と棒グラフの切れを修正しました。照会・フィルター・モデル接続を変えず、Microsoft公式の組織向け埋め込み経路で実際の描画、5つのデータ可視化のエクスポート、年スライサーの変更と復元を検証しました。全期間のKPIはGoldの94,900件・1,596,157,000円に一致します。この確認はFabricポータル全体のUI試験とは区別しています。</w:t>
      </w:r>
    </w:p>
    <w:p>
      <w:pPr>
        <w:spacing w:after="140"/>
      </w:pPr>
      <w:r>
        <w:rPr>
          <w:b w:val="0"/>
          <w:sz w:val="20"/>
          <w:rFonts w:ascii="Noto Sans CJK JP" w:hAnsi="Noto Sans CJK JP" w:eastAsia="Noto Sans CJK JP" w:cs="Noto Sans CJK JP"/>
        </w:rPr>
        <w:t>The Report binding to the same Semantic Model was verified, and abbreviated KPI values and clipped bars were corrected. Queries, filters and the model binding remained unchanged. Actual rendering, exports from five data visuals, and a year-slicer change and restoration were verified through Microsoft’s official embed-for-organization route. The all-period KPI matched Gold: 94,900 rows and JPY 1,596,157,000. This verification is distinct from a full Fabric-portal UI test.</w:t>
      </w:r>
    </w:p>
    <w:p>
      <w:pPr>
        <w:spacing w:after="140"/>
      </w:pPr>
      <w:r>
        <w:rPr>
          <w:b w:val="0"/>
          <w:sz w:val="20"/>
          <w:rFonts w:ascii="Noto Sans CJK JP" w:hAnsi="Noto Sans CJK JP" w:eastAsia="Noto Sans CJK JP" w:cs="Noto Sans CJK JP"/>
        </w:rPr>
        <w:t>全体、Lakehouse、Semantic Modelの指示文だけを調整し、必要なIDと回答要素、月の開始を含み翌月の開始を含まない日付範囲、混在するタイムゾーンの表記、異なる母集団を合算しない回答を明確にしました。2回目の限定確認4問・33条件は30 PASS／3 FAILでした。これには回答要素やソース経路も含まれ、厳密なnative判定の合格はありません。出典分担と一部の見出し、実行証拠の欠落は残ります。この範囲の実測を根拠に候補を採用し、全件評価の結果は別に判定します。</w:t>
      </w:r>
    </w:p>
    <w:p>
      <w:pPr>
        <w:spacing w:after="140"/>
      </w:pPr>
      <w:r>
        <w:rPr>
          <w:b w:val="0"/>
          <w:sz w:val="20"/>
          <w:rFonts w:ascii="Noto Sans CJK JP" w:hAnsi="Noto Sans CJK JP" w:eastAsia="Noto Sans CJK JP" w:cs="Noto Sans CJK JP"/>
        </w:rPr>
        <w:t>Only the global, Lakehouse and Semantic Model instructions changed, clarifying required IDs and answer elements, month-start-inclusive/next-month-start-exclusive intervals, mixed-time-zone labels and refusal to combine incompatible populations. The second targeted check covered four questions and 33 conditions, with 30 PASS and three FAIL. Those conditions include completeness and source routes; no strict native question passed. Source attribution, some headings and incomplete execution evidence remain limitations. The candidate was adopted on this bounded evidence, with the full campaign judged separately.</w:t>
      </w:r>
    </w:p>
    <w:p>
      <w:pPr>
        <w:spacing w:after="140"/>
      </w:pPr>
      <w:r>
        <w:rPr>
          <w:b w:val="0"/>
          <w:sz w:val="20"/>
          <w:rFonts w:ascii="Noto Sans CJK JP" w:hAnsi="Noto Sans CJK JP" w:eastAsia="Noto Sans CJK JP" w:cs="Noto Sans CJK JP"/>
        </w:rPr>
        <w:t>最終評価と別枠のCode Interpreter確認が終了した後、Notebook01–05を読戻して配布予定の生成コードと照合しました。Notebook01・05は同一で更新不要、Notebook02–04は同じアイテムIDの定義だけを更新し、コードとその他のnativeメタデータの保持を確認しました。この同期ではNotebookジョブやデータ取り込み、Agent・業務データへの書込みを実行していません。</w:t>
      </w:r>
    </w:p>
    <w:p>
      <w:pPr>
        <w:spacing w:after="140"/>
      </w:pPr>
      <w:r>
        <w:rPr>
          <w:b w:val="0"/>
          <w:sz w:val="20"/>
          <w:rFonts w:ascii="Noto Sans CJK JP" w:hAnsi="Noto Sans CJK JP" w:eastAsia="Noto Sans CJK JP" w:cs="Noto Sans CJK JP"/>
        </w:rPr>
        <w:t>After the final campaign and separate Code Interpreter check completed, Notebooks 01–05 were read back and compared with the generated code intended for distribution. Notebooks 01 and 05 already matched; only the definitions of Notebooks 02–04 were updated under their existing item IDs, with code readback and preservation of the other native metadata verified. This synchronization submitted no Notebook jobs or ingestion runs and made no Agent or business-data writes.</w:t>
      </w:r>
    </w:p>
    <w:p>
      <w:pPr>
        <w:pStyle w:val="Heading1"/>
        <w:keepNext/>
        <w:pageBreakBefore w:val="0"/>
        <w:spacing w:before="520" w:after="120"/>
        <w:pBdr>
          <w:bottom w:val="single" w:sz="6" w:space="0" w:color="D0D7DE"/>
        </w:pBdr>
      </w:pPr>
      <w:r>
        <w:rPr>
          <w:rFonts w:ascii="Noto Sans CJK JP" w:hAnsi="Noto Sans CJK JP" w:eastAsia="Noto Sans CJK JP" w:cs="Noto Sans CJK JP"/>
        </w:rPr>
        <w:t>観測した結果 / Observed findings</w:t>
      </w:r>
    </w:p>
    <w:p>
      <w:pPr>
        <w:spacing w:after="140"/>
      </w:pPr>
      <w:r>
        <w:rPr>
          <w:b w:val="0"/>
          <w:sz w:val="20"/>
          <w:rFonts w:ascii="Noto Sans CJK JP" w:hAnsi="Noto Sans CJK JP" w:eastAsia="Noto Sans CJK JP" w:cs="Noto Sans CJK JP"/>
        </w:rPr>
        <w:t>データの母集団を分けて照合しました。StaticSeedは80,000件・1,344,099,000円、Eventhouseの生データは15,000行・253,886,000円です。品質処理では増分14,900件・252,058,000円を受け入れ、100行を隔離しました。GoldはStaticSeedと受入増分を合わせた94,900件・1,596,157,000円です。生データの合計とGoldの合計を同じ指標として比較しません。</w:t>
      </w:r>
    </w:p>
    <w:p>
      <w:pPr>
        <w:spacing w:after="140"/>
      </w:pPr>
      <w:r>
        <w:rPr>
          <w:b w:val="0"/>
          <w:sz w:val="20"/>
          <w:rFonts w:ascii="Noto Sans CJK JP" w:hAnsi="Noto Sans CJK JP" w:eastAsia="Noto Sans CJK JP" w:cs="Noto Sans CJK JP"/>
        </w:rPr>
        <w:t>The populations were reconciled separately: StaticSeed contains 80,000 donations and JPY 1,344,099,000; Eventhouse raw data contains 15,000 rows and JPY 253,886,000. Quality processing accepted 14,900 increment rows and JPY 252,058,000 and quarantined 100 rows. Gold combines StaticSeed and accepted increments into 94,900 rows and JPY 1,596,157,000. Raw and Gold totals represent different populations.</w:t>
      </w:r>
    </w:p>
    <w:p>
      <w:pPr>
        <w:spacing w:after="140"/>
      </w:pPr>
      <w:r>
        <w:rPr>
          <w:b w:val="0"/>
          <w:sz w:val="20"/>
          <w:rFonts w:ascii="Noto Sans CJK JP" w:hAnsi="Noto Sans CJK JP" w:eastAsia="Noto Sans CJK JP" w:cs="Noto Sans CJK JP"/>
        </w:rPr>
        <w:t>Reportで2026年を選択すると16,072件・272,421,000円になります。これは受入増分14,900件・252,058,000円に、JSTの日付で2026年に入るStaticSeedの1,172件・20,363,000円を加えた値です。「静的スナップショット」「UTC暦年」「JST暦年」「生観測」「Gold」の対象を明示し、日付範囲や品質処理の違いによる数値差を回答誤りと混同しないようにします。</w:t>
      </w:r>
    </w:p>
    <w:p>
      <w:pPr>
        <w:spacing w:after="140"/>
      </w:pPr>
      <w:r>
        <w:rPr>
          <w:b w:val="0"/>
          <w:sz w:val="20"/>
          <w:rFonts w:ascii="Noto Sans CJK JP" w:hAnsi="Noto Sans CJK JP" w:eastAsia="Noto Sans CJK JP" w:cs="Noto Sans CJK JP"/>
        </w:rPr>
        <w:t>Selecting 2026 in the Report produces 16,072 rows and JPY 272,421,000: 14,900 accepted increments totalling JPY 252,058,000 plus 1,172 StaticSeed rows totalling JPY 20,363,000 whose JST dates fall in 2026. Static snapshot, UTC calendar year, JST calendar year, raw observations and Gold are explicitly distinguished so that scope and quality-processing differences are not mistaken for answer errors.</w:t>
      </w:r>
    </w:p>
    <w:p>
      <w:pPr>
        <w:spacing w:after="140"/>
      </w:pPr>
      <w:r>
        <w:rPr>
          <w:b w:val="0"/>
          <w:sz w:val="20"/>
          <w:rFonts w:ascii="Noto Sans CJK JP" w:hAnsi="Noto Sans CJK JP" w:eastAsia="Noto Sans CJK JP" w:cs="Noto Sans CJK JP"/>
        </w:rPr>
        <w:t>削除後にGETだけで再確認した棚卸しでも、旧フォルダー0件、現行18件、両方のごみ箱0件で、2回の読取りで現行IDは一致しました。この棚卸しは追加削除の実施記録ではなく、先の削除記録を補完する状態確認です。</w:t>
      </w:r>
    </w:p>
    <w:p>
      <w:pPr>
        <w:spacing w:after="140"/>
      </w:pPr>
      <w:r>
        <w:rPr>
          <w:b w:val="0"/>
          <w:sz w:val="20"/>
          <w:rFonts w:ascii="Noto Sans CJK JP" w:hAnsi="Noto Sans CJK JP" w:eastAsia="Noto Sans CJK JP" w:cs="Noto Sans CJK JP"/>
        </w:rPr>
        <w:t>A later GET-only inventory again found the old folder empty, 18 current items and zero items in both recycle-bin views; current identities matched across two reads. This is a state check supporting the earlier deletion receipt, not evidence of an additional purge.</w:t>
      </w:r>
    </w:p>
    <w:p>
      <w:pPr>
        <w:spacing w:after="140"/>
      </w:pPr>
      <w:r>
        <w:rPr>
          <w:b w:val="0"/>
          <w:sz w:val="20"/>
          <w:rFonts w:ascii="Noto Sans CJK JP" w:hAnsi="Noto Sans CJK JP" w:eastAsia="Noto Sans CJK JP" w:cs="Noto Sans CJK JP"/>
        </w:rPr>
        <w:t>baselineと最終評価は、それぞれ51問・296条件の全件を評価しました。回答内容の補助条件は、baselineがPASS 200・FAIL 91・UNCLEAR 2・NA 3、最終評価がPASS 225・FAIL 65・UNCLEAR 0・NA 6です。調整に用いない保留問題は別の問題集合で、両フェーズとも6条件中PASS 5・FAIL 1でした。これらは対応付けた改善比較には含めません。</w:t>
      </w:r>
    </w:p>
    <w:p>
      <w:pPr>
        <w:spacing w:after="140"/>
      </w:pPr>
      <w:r>
        <w:rPr>
          <w:b w:val="0"/>
          <w:sz w:val="20"/>
          <w:rFonts w:ascii="Noto Sans CJK JP" w:hAnsi="Noto Sans CJK JP" w:eastAsia="Noto Sans CJK JP" w:cs="Noto Sans CJK JP"/>
        </w:rPr>
        <w:t>Baseline and final evaluation each covered all 51 questions and 296 conditions. Supplemental content outcomes were 200 PASS, 91 FAIL, 2 UNCLEAR and 3 NA at baseline, and 225 PASS, 65 FAIL, 0 UNCLEAR and 6 NA at final. The separate heldout sets, which were not used for tuning, each had 5 PASS and 1 FAIL across six conditions. These disjoint sets are excluded from the paired improvement comparison.</w:t>
      </w:r>
    </w:p>
    <w:p>
      <w:pPr>
        <w:spacing w:after="140"/>
      </w:pPr>
      <w:r>
        <w:rPr>
          <w:b w:val="0"/>
          <w:sz w:val="20"/>
          <w:rFonts w:ascii="Noto Sans CJK JP" w:hAnsi="Noto Sans CJK JP" w:eastAsia="Noto Sans CJK JP" w:cs="Noto Sans CJK JP"/>
        </w:rPr>
        <w:t>同一質問・同一条件の比較は、元の290条件から既定の確認質問分岐で適用外となる9条件を両側同じキーで除いた281条件です。補助条件充足率は189/281(67.26%)から217/281(77.22%)へ9.96ポイント上がりました。内訳はPASS維持187、PASS→FAIL 2、FAIL→PASS 28、FAIL維持62、UNCLEAR→PASS 2です。最後の2条件は中断したbaseline枠の証拠が最終評価で得られたもので、確認済みの誤答が改善したとは扱いません。</w:t>
      </w:r>
    </w:p>
    <w:p>
      <w:pPr>
        <w:spacing w:after="140"/>
      </w:pPr>
      <w:r>
        <w:rPr>
          <w:b w:val="0"/>
          <w:sz w:val="20"/>
          <w:rFonts w:ascii="Noto Sans CJK JP" w:hAnsi="Noto Sans CJK JP" w:eastAsia="Noto Sans CJK JP" w:cs="Noto Sans CJK JP"/>
        </w:rPr>
        <w:t>The paired comparison uses 281 conditions after removing nine predeclared clarification-branch inapplicable conditions symmetrically by the same keys from the original 290. Supplemental condition fulfillment rose from 189/281 (67.26%) to 217/281 (77.22%), a 9.96 percentage-point increase. The transitions were 187 PASS→PASS, 2 PASS→FAIL, 28 FAIL→PASS, 62 FAIL→FAIL and 2 UNCLEAR→PASS. The last two reflect evidence obtained in the final evaluation for the interrupted baseline slot, not a demonstrated correction of a known wrong answer.</w:t>
      </w:r>
    </w:p>
    <w:p>
      <w:pPr>
        <w:spacing w:after="140"/>
      </w:pPr>
      <w:r>
        <w:rPr>
          <w:b w:val="0"/>
          <w:sz w:val="20"/>
          <w:rFonts w:ascii="Noto Sans CJK JP" w:hAnsi="Noto Sans CJK JP" w:eastAsia="Noto Sans CJK JP" w:cs="Noto Sans CJK JP"/>
        </w:rPr>
        <w:t>厳密なnative判定で受理された回答はbaselineの51問中1件から最終の51問中2件になりましたが、いずれも確認質問の分岐です。ソース照会を伴う完成回答の厳密な受理は両方0件です。実際のソース実行を1つ以上確認できた回答は28件から27件であり、内容の条件充足率とは別の指標です。有限回の回答で観測された差から、指示修正による確実な因果的改善、全文章の正しさ、Ontology接続の復旧を保証しません。</w:t>
      </w:r>
    </w:p>
    <w:p>
      <w:pPr>
        <w:spacing w:after="140"/>
      </w:pPr>
      <w:r>
        <w:rPr>
          <w:b w:val="0"/>
          <w:sz w:val="20"/>
          <w:rFonts w:ascii="Noto Sans CJK JP" w:hAnsi="Noto Sans CJK JP" w:eastAsia="Noto Sans CJK JP" w:cs="Noto Sans CJK JP"/>
        </w:rPr>
        <w:t>Strict native acceptance increased from 1 of 51 baseline responses to 2 of 51 final responses, but all accepted responses were clarification branches. Neither phase had a strictly accepted completed answer involving a source query. Responses with at least one observed successful source execution changed from 28 to 27, a separate measure from content fulfillment. Differences in this finite set of responses do not guarantee a causal tuning improvement, correctness of every sentence or restored Ontology consumption.</w:t>
      </w:r>
    </w:p>
    <w:p>
      <w:pPr>
        <w:spacing w:after="140"/>
      </w:pPr>
      <w:r>
        <w:rPr>
          <w:b w:val="0"/>
          <w:sz w:val="20"/>
          <w:rFonts w:ascii="Noto Sans CJK JP" w:hAnsi="Noto Sans CJK JP" w:eastAsia="Noto Sans CJK JP" w:cs="Noto Sans CJK JP"/>
        </w:rPr>
        <w:t>正式評価の登録枠は112枠(qualification2、baseline51、限定確認8、最終評価51)です。baselineの中断した回帰問題1枠は送信・結果が不明のまま1枠を消費し、再送や対応する最終評価の回帰問題の成功によって過去の不明を成功へ変更しません。確認できた正式評価のPOSTは111回で、送信の有無が不明な1枠を加えた消費枠の上限112と区別します。Code Interpreterの追加確認1問は正式評価・同一条件比較の分母に含めません。</w:t>
      </w:r>
    </w:p>
    <w:p>
      <w:pPr>
        <w:spacing w:after="140"/>
      </w:pPr>
      <w:r>
        <w:rPr>
          <w:b w:val="0"/>
          <w:sz w:val="20"/>
          <w:rFonts w:ascii="Noto Sans CJK JP" w:hAnsi="Noto Sans CJK JP" w:eastAsia="Noto Sans CJK JP" w:cs="Noto Sans CJK JP"/>
        </w:rPr>
        <w:t>The formal registered budget is 112 slots: two qualification, 51 baseline, eight targeted and 51 final. The interrupted baseline regression slot retains its uncertain submission and outcome and consumes one slot; it is not resubmitted or relabelled by a successful corresponding final regression slot. There were 111 known formal POSTs and one uncertain submission slot, distinct from the upper bound of 112 consumed slots. The separate one-question Code Interpreter capability check is outside the formal and paired denominators.</w:t>
      </w:r>
    </w:p>
    <w:p>
      <w:pPr>
        <w:spacing w:after="140"/>
      </w:pPr>
      <w:r>
        <w:rPr>
          <w:b w:val="0"/>
          <w:sz w:val="20"/>
          <w:rFonts w:ascii="Noto Sans CJK JP" w:hAnsi="Noto Sans CJK JP" w:eastAsia="Noto Sans CJK JP" w:cs="Noto Sans CJK JP"/>
        </w:rPr>
        <w:t>SQLの実行証拠は、同じソース・同じ委譲グループ・成功したexecution indexと完全一致するSQLに結び付いた完全な返却結果に限り採用します。直接実行の返却行が完全ならそれを優先し、後続の受付結果との二重計上を避けます。この一貫した再判定では元の判定と訂正理由を保持し、回答条件・失敗・厳密採点器を変更していません。証拠の観測数の変化を回答の改善とは扱いません。</w:t>
      </w:r>
    </w:p>
    <w:p>
      <w:pPr>
        <w:spacing w:after="140"/>
      </w:pPr>
      <w:r>
        <w:rPr>
          <w:b w:val="0"/>
          <w:sz w:val="20"/>
          <w:rFonts w:ascii="Noto Sans CJK JP" w:hAnsi="Noto Sans CJK JP" w:eastAsia="Noto Sans CJK JP" w:cs="Noto Sans CJK JP"/>
        </w:rPr>
        <w:t>SQL execution evidence is accepted only when complete returned results are linked to the same source, delegate group, successful execution index and exactly matching SQL. A complete direct result takes precedence, preventing duplicate credit for a later acceptance response. Consistent append-only adjudication preserves earlier decisions and correction reasons without changing answer criteria, failures or the strict grader. Changed evidence counts are not treated as improved answers.</w:t>
      </w:r>
    </w:p>
    <w:p>
      <w:pPr>
        <w:spacing w:after="140"/>
      </w:pPr>
      <w:r>
        <w:rPr>
          <w:b w:val="0"/>
          <w:sz w:val="20"/>
          <w:rFonts w:ascii="Noto Sans CJK JP" w:hAnsi="Noto Sans CJK JP" w:eastAsia="Noto Sans CJK JP" w:cs="Noto Sans CJK JP"/>
        </w:rPr>
        <w:t>Notebook同期後の読取り専用確認でも、採用済みAgentの公開定義と元の業務データ指紋、ソースID、モデル、静的・生観測・Goldの値の一致を確認しました。この確認では質問を送信せず、新しい評価フェーズを登録していません。</w:t>
      </w:r>
    </w:p>
    <w:p>
      <w:pPr>
        <w:spacing w:after="140"/>
      </w:pPr>
      <w:r>
        <w:rPr>
          <w:b w:val="0"/>
          <w:sz w:val="20"/>
          <w:rFonts w:ascii="Noto Sans CJK JP" w:hAnsi="Noto Sans CJK JP" w:eastAsia="Noto Sans CJK JP" w:cs="Noto Sans CJK JP"/>
        </w:rPr>
        <w:t>Read-only verification after Notebook synchronization again matched the adopted Agent publication, original business-data fingerprint, source IDs, model and static, raw-observation and Gold totals. This check submitted no question and registered no new evaluation phase.</w:t>
      </w:r>
    </w:p>
    <w:p>
      <w:pPr>
        <w:spacing w:after="140"/>
      </w:pPr>
      <w:r>
        <w:rPr>
          <w:b w:val="0"/>
          <w:sz w:val="20"/>
          <w:rFonts w:ascii="Noto Sans CJK JP" w:hAnsi="Noto Sans CJK JP" w:eastAsia="Noto Sans CJK JP" w:cs="Noto Sans CJK JP"/>
        </w:rPr>
        <w:t>構成の指紋は、Agent の Draft と Published を含む完全な定義を正規化した値です。ソース定義の指紋は、Ontology・ソース登録と、保持したモデル／Graph の記録を結ぶ私有証跡束の hash です。取得記録とフェーズ終結は同じ終結記録、補助条件と厳格条件は同じ元の判定台帳を参照します。証跡束の hash の違いだけで業務データの変更とは判断しません。</w:t>
      </w:r>
    </w:p>
    <w:p>
      <w:pPr>
        <w:spacing w:after="140"/>
      </w:pPr>
      <w:r>
        <w:rPr>
          <w:b w:val="0"/>
          <w:sz w:val="20"/>
          <w:rFonts w:ascii="Noto Sans CJK JP" w:hAnsi="Noto Sans CJK JP" w:eastAsia="Noto Sans CJK JP" w:cs="Noto Sans CJK JP"/>
        </w:rPr>
        <w:t>The configuration fingerprint canonicalizes the complete Agent definition, including Draft and Published. The source-definition fingerprint hashes a private reference bundle connecting Ontology/source-registration captures to retained model and Graph proofs. Capture and phase-closure fingerprints reference the same closure; supplemental and strict condition fingerprints reference the same original combined ledger. A different evidence-bundle hash alone does not establish changed business data.</w:t>
      </w:r>
    </w:p>
    <w:p>
      <w:pPr>
        <w:pStyle w:val="Heading1"/>
        <w:keepNext/>
        <w:pageBreakBefore w:val="0"/>
        <w:spacing w:before="520" w:after="120"/>
        <w:pBdr>
          <w:bottom w:val="single" w:sz="6" w:space="0" w:color="D0D7DE"/>
        </w:pBdr>
      </w:pPr>
      <w:r>
        <w:rPr>
          <w:rFonts w:ascii="Noto Sans CJK JP" w:hAnsi="Noto Sans CJK JP" w:eastAsia="Noto Sans CJK JP" w:cs="Noto Sans CJK JP"/>
        </w:rPr>
        <w:t>残る制約 / Remaining limitations</w:t>
      </w:r>
    </w:p>
    <w:p>
      <w:pPr>
        <w:spacing w:after="140"/>
      </w:pPr>
      <w:r>
        <w:rPr>
          <w:b w:val="0"/>
          <w:sz w:val="20"/>
          <w:rFonts w:ascii="Noto Sans CJK JP" w:hAnsi="Noto Sans CJK JP" w:eastAsia="Noto Sans CJK JP" w:cs="Noto Sans CJK JP"/>
        </w:rPr>
        <w:t>静的Graphは10種類のノードと15種類の関係について25本の直接GQL照会を実行し、期待件数との一致を確認しました。ただし、その後の物理Time Series追加を反映したGraph定義には、KQLソースがUnsupportedとなる差分とhasDriftが残っています。既存のロード済み静的Graphは維持していますが、Time Seriesまで含むGraph全体の再構築・最新化が完了したとは報告しません。</w:t>
      </w:r>
    </w:p>
    <w:p>
      <w:pPr>
        <w:spacing w:after="140"/>
      </w:pPr>
      <w:r>
        <w:rPr>
          <w:b w:val="0"/>
          <w:sz w:val="20"/>
          <w:rFonts w:ascii="Noto Sans CJK JP" w:hAnsi="Noto Sans CJK JP" w:eastAsia="Noto Sans CJK JP" w:cs="Noto Sans CJK JP"/>
        </w:rPr>
        <w:t>Twenty-five direct GQL checks verified the expected counts for 10 node types and 15 relationship types in the static Graph. After the physical Time Series binding was added, the Graph definition showed an Unsupported KQL source and hasDrift. The existing loaded static Graph was preserved; a rebuilt, current Graph including Time Series has not been established.</w:t>
      </w:r>
    </w:p>
    <w:p>
      <w:pPr>
        <w:spacing w:after="140"/>
      </w:pPr>
      <w:r>
        <w:rPr>
          <w:b w:val="0"/>
          <w:sz w:val="20"/>
          <w:rFonts w:ascii="Noto Sans CJK JP" w:hAnsi="Noto Sans CJK JP" w:eastAsia="Noto Sans CJK JP" w:cs="Noto Sans CJK JP"/>
        </w:rPr>
        <w:t>Municipality.IncomingDonationAmountYenの物理Time Seriesは、Eventhouseの生観測ソースへのバインドと保存後の読戻しを確認しました。別枠のOntology MCP照会の回答内容と表示クエリは、独立したKQL実行およびCSV集計と一致しました。会話履歴にも同じ管理対象データベースへのクエリイベントがありますが、nativeの返却行とクエリ成功状態が取得できないため、厳密な実行検証はinconclusiveです。設定済みであることと実行確認済みであることを区別する注記に修正しました。</w:t>
      </w:r>
    </w:p>
    <w:p>
      <w:pPr>
        <w:spacing w:after="140"/>
      </w:pPr>
      <w:r>
        <w:rPr>
          <w:b w:val="0"/>
          <w:sz w:val="20"/>
          <w:rFonts w:ascii="Noto Sans CJK JP" w:hAnsi="Noto Sans CJK JP" w:eastAsia="Noto Sans CJK JP" w:cs="Noto Sans CJK JP"/>
        </w:rPr>
        <w:t>The physical Time Series binding for Municipality.IncomingDonationAmountYen was saved and read back against the raw Eventhouse source. The separate Ontology MCP answer and displayed query agreed with independently executed KQL and CSV calculations. Conversation history also contained the matching query event for the owned database, but exposed neither returned native rows nor a query-success status. Strict runtime verification therefore remains inconclusive. The annotation now distinguishes a configured binding from verified execution.</w:t>
      </w:r>
    </w:p>
    <w:p>
      <w:pPr>
        <w:spacing w:after="140"/>
      </w:pPr>
      <w:r>
        <w:rPr>
          <w:b w:val="0"/>
          <w:sz w:val="20"/>
          <w:rFonts w:ascii="Noto Sans CJK JP" w:hAnsi="Noto Sans CJK JP" w:eastAsia="Noto Sans CJK JP" w:cs="Noto Sans CJK JP"/>
        </w:rPr>
        <w:t>Ontologyのnative Metricsは読戻し時点で0件です。Semantic Modelの既存メジャーは別途DAXで検証しましたが、それをOntology Metricsの実装完了とは扱っていません。Ontology agentでPlanと1回の限定した追確認を行ったところ、この経路では根拠のあるbackingMeasure／targetScopesを持つ具体的な定義を作成できませんでした。Actは実行せず、既存Ontologyの定義を保持しました。</w:t>
      </w:r>
    </w:p>
    <w:p>
      <w:pPr>
        <w:spacing w:after="140"/>
      </w:pPr>
      <w:r>
        <w:rPr>
          <w:b w:val="0"/>
          <w:sz w:val="20"/>
          <w:rFonts w:ascii="Noto Sans CJK JP" w:hAnsi="Noto Sans CJK JP" w:eastAsia="Noto Sans CJK JP" w:cs="Noto Sans CJK JP"/>
        </w:rPr>
        <w:t>The native Ontology Metrics readback contained zero metrics. Existing Semantic Model measures were independently verified with DAX, which does not establish an Ontology Metrics implementation. A Plan and one bounded follow-up through the Ontology agent did not produce a grounded concrete definition with backingMeasure and targetScopes through that path. No Act was executed and the existing Ontology definition was preserved.</w:t>
      </w:r>
    </w:p>
    <w:p>
      <w:pPr>
        <w:spacing w:after="140"/>
      </w:pPr>
      <w:r>
        <w:rPr>
          <w:b w:val="0"/>
          <w:sz w:val="20"/>
          <w:rFonts w:ascii="Noto Sans CJK JP" w:hAnsi="Noto Sans CJK JP" w:eastAsia="Noto Sans CJK JP" w:cs="Noto Sans CJK JP"/>
        </w:rPr>
        <w:t>nativeのTurtleエクスポートは成功し、配布したRDFで意図した10クラス・73プロパティ・15関係がすべて含まれることを確認しました。名称・説明と関係の向きも照合しています。一方、native出力には外部キーに相当する14プロパティが追加され、一部の整数rangeがlongからintegerになり、Time Seriesプロパティのrangeがありません。したがって完全に同一のRDF、バインドを含む可逆変換、native機能の同等性は保証しません。再importや追加Ontologyの作成は行っていません。</w:t>
      </w:r>
    </w:p>
    <w:p>
      <w:pPr>
        <w:spacing w:after="140"/>
      </w:pPr>
      <w:r>
        <w:rPr>
          <w:b w:val="0"/>
          <w:sz w:val="20"/>
          <w:rFonts w:ascii="Noto Sans CJK JP" w:hAnsi="Noto Sans CJK JP" w:eastAsia="Noto Sans CJK JP" w:cs="Noto Sans CJK JP"/>
        </w:rPr>
        <w:t>Native Turtle export succeeded and covered every intended element in the distributed RDF: 10 classes, 73 properties and 15 relationships. Names, descriptions and relationship directions were compared. The native export additionally contained 14 foreign-key properties, widened some integer ranges from long to integer, and omitted the Time Series property’s range. This does not establish identical RDF, a reversible round trip including bindings, or native-feature equivalence. No RDF import or additional Ontology was created.</w:t>
      </w:r>
    </w:p>
    <w:p>
      <w:pPr>
        <w:spacing w:after="140"/>
      </w:pPr>
      <w:r>
        <w:rPr>
          <w:b w:val="0"/>
          <w:sz w:val="20"/>
          <w:rFonts w:ascii="Noto Sans CJK JP" w:hAnsi="Noto Sans CJK JP" w:eastAsia="Noto Sans CJK JP" w:cs="Noto Sans CJK JP"/>
        </w:rPr>
        <w:t>Data Agentは現在のGen2構成に合わせ、Lakehouse・KQL Database・Semantic Modelの3つの通常ソースと、同じOntologyへの独立したcontext登録で公開しました。SQL選択は17オブジェクト・143列、KQL回答例9件はサービス検証済みで、公開定義と選択状態を読戻しています。ただしOntology contextはSchemaUnavailableで、定義の必須部分を解決できない502応答が残っています。公開や登録の成功をOntology接続の正常化、あるいはプラットフォーム全体のバグ解消と読み替えません。</w:t>
      </w:r>
    </w:p>
    <w:p>
      <w:pPr>
        <w:spacing w:after="140"/>
      </w:pPr>
      <w:r>
        <w:rPr>
          <w:b w:val="0"/>
          <w:sz w:val="20"/>
          <w:rFonts w:ascii="Noto Sans CJK JP" w:hAnsi="Noto Sans CJK JP" w:eastAsia="Noto Sans CJK JP" w:cs="Noto Sans CJK JP"/>
        </w:rPr>
        <w:t>The Data Agent was published using the current Gen 2 arrangement: three ordinary sources—Lakehouse, KQL Database and Semantic Model—plus a separate context registration for the same Ontology. Published readback verified 17 selected SQL objects and 143 columns; nine KQL examples passed service validation. Ontology context nevertheless remained SchemaUnavailable, with 502 responses indicating an unresolved required definition part. Successful publication or registration does not establish working Ontology consumption or a platform-wide bug fix.</w:t>
      </w:r>
    </w:p>
    <w:p>
      <w:pPr>
        <w:spacing w:after="140"/>
      </w:pPr>
      <w:r>
        <w:rPr>
          <w:b w:val="0"/>
          <w:sz w:val="20"/>
          <w:rFonts w:ascii="Noto Sans CJK JP" w:hAnsi="Noto Sans CJK JP" w:eastAsia="Noto Sans CJK JP" w:cs="Noto Sans CJK JP"/>
        </w:rPr>
        <w:t>固定採点条件の一部には、承認済みソース全体にわたる EventID の不在を求める、実際の物理スキーマより広い表現があります。通常の Eventhouse 観測に使う集計ビューには EventID がありませんが、選択済みの Lakehouse の bronze・silver・quarantine の品質処理テーブルには存在します。後者の利用は Notebook05 の品質処理を明示した質問に限り、通常の観測に対する回答へ別の母集団を代用しません。採点条件は変更せず、該当条件の未達は FAIL のまま保持しました。これは全ソースで列が欠落していることや、指示調整で問題を解消したことを意味しません。</w:t>
      </w:r>
    </w:p>
    <w:p>
      <w:pPr>
        <w:spacing w:after="140"/>
      </w:pPr>
      <w:r>
        <w:rPr>
          <w:b w:val="0"/>
          <w:sz w:val="20"/>
          <w:rFonts w:ascii="Noto Sans CJK JP" w:hAnsi="Noto Sans CJK JP" w:eastAsia="Noto Sans CJK JP" w:cs="Noto Sans CJK JP"/>
        </w:rPr>
        <w:t>Some fixed scoring criteria use an EventID-absence statement across approved sources that is broader than the actual physical schema. The summary view used for ordinary Eventhouse observations has no EventID, while selected Lakehouse bronze, silver and quarantine quality tables do contain it. Those tables are allowed only for questions explicitly requesting Notebook05 quality processing; their different population must not replace an ordinary observation answer. The rubric was kept unchanged and the unmet condition retained as FAIL. This does not imply that the column is absent from every source or that instruction tuning resolved the issue.</w:t>
      </w:r>
    </w:p>
    <w:p>
      <w:pPr>
        <w:spacing w:after="140"/>
      </w:pPr>
      <w:r>
        <w:rPr>
          <w:b w:val="0"/>
          <w:sz w:val="20"/>
          <w:rFonts w:ascii="Noto Sans CJK JP" w:hAnsi="Noto Sans CJK JP" w:eastAsia="Noto Sans CJK JP" w:cs="Noto Sans CJK JP"/>
        </w:rPr>
        <w:t>指示調整の比較期間中は、KQLの指示、native Ontologyの定義、選択したソース・列、回答例、モデル、業務データ、実行基盤、固定採点条件は変更していません。Ontology consumerのSchemaUnavailableは指示調整では解消していません。</w:t>
      </w:r>
    </w:p>
    <w:p>
      <w:pPr>
        <w:spacing w:after="140"/>
      </w:pPr>
      <w:r>
        <w:rPr>
          <w:b w:val="0"/>
          <w:sz w:val="20"/>
          <w:rFonts w:ascii="Noto Sans CJK JP" w:hAnsi="Noto Sans CJK JP" w:eastAsia="Noto Sans CJK JP" w:cs="Noto Sans CJK JP"/>
        </w:rPr>
        <w:t>During the instruction-tuning comparison, KQL instructions, the native Ontology definition, source and column selections, examples, model, business data, execution harness and fixed rubric remained unchanged. Instruction tuning did not resolve the Ontology consumer’s SchemaUnavailable state.</w:t>
      </w:r>
    </w:p>
    <w:p>
      <w:pPr>
        <w:spacing w:after="140"/>
      </w:pPr>
      <w:r>
        <w:rPr>
          <w:b w:val="0"/>
          <w:sz w:val="20"/>
          <w:rFonts w:ascii="Noto Sans CJK JP" w:hAnsi="Noto Sans CJK JP" w:eastAsia="Noto Sans CJK JP" w:cs="Noto Sans CJK JP"/>
        </w:rPr>
        <w:t>固定条件を満たしても追加説明が誤る例があり、補助条件の充足は全文章の事実正確性を意味しません。最終評価のファイル別観測を問う問題では、3回中2回の実回答が8月21日の観測期間を重なると説明しましたが、回答内の時刻では前のファイルの最終観測から次のファイルの初回観測まで3分12秒空いていました。残り1回の「一部の隣接ファイルで重なる」という記述は8月11日の時刻と整合します。この誤りは定性的な所見として残し、固定採点条件や分母を後から変更していません。</w:t>
      </w:r>
    </w:p>
    <w:p>
      <w:pPr>
        <w:spacing w:after="140"/>
      </w:pPr>
      <w:r>
        <w:rPr>
          <w:b w:val="0"/>
          <w:sz w:val="20"/>
          <w:rFonts w:ascii="Noto Sans CJK JP" w:hAnsi="Noto Sans CJK JP" w:eastAsia="Noto Sans CJK JP" w:cs="Noto Sans CJK JP"/>
        </w:rPr>
        <w:t>Meeting the fixed conditions does not establish that every sentence is factually correct. In the final question about observations by file, two of three actual responses claimed overlapping observation intervals on August 21, although their own timestamps show a three-minute-twelve-second gap between the second file’s last observation and the third file’s first observation. The remaining response only said that some adjacent intervals overlap, which is supported by the August 11 timestamps. The error is retained as a qualitative finding without retrospectively changing the fixed rubric or denominator.</w:t>
      </w:r>
    </w:p>
    <w:p>
      <w:pPr>
        <w:spacing w:after="140"/>
      </w:pPr>
      <w:r>
        <w:rPr>
          <w:b w:val="0"/>
          <w:sz w:val="20"/>
          <w:rFonts w:ascii="Noto Sans CJK JP" w:hAnsi="Noto Sans CJK JP" w:eastAsia="Noto Sans CJK JP" w:cs="Noto Sans CJK JP"/>
        </w:rPr>
        <w:t>補助条件を満たしても、要求された機能がすべて完了したとは限りません。最終評価の月別比較問題では前年8月と当年8月の寄附金額と大小関係を回答しましたが、差・倍率・増減率はCode Interpreterのモデルデプロイ処理エラーで算出できませんでした。この個別事例から機能全体の可否は断定せず、別の実測結果と区別して扱います。</w:t>
      </w:r>
    </w:p>
    <w:p>
      <w:pPr>
        <w:spacing w:after="140"/>
      </w:pPr>
      <w:r>
        <w:rPr>
          <w:b w:val="0"/>
          <w:sz w:val="20"/>
          <w:rFonts w:ascii="Noto Sans CJK JP" w:hAnsi="Noto Sans CJK JP" w:eastAsia="Noto Sans CJK JP" w:cs="Noto Sans CJK JP"/>
        </w:rPr>
        <w:t>Supplemental condition fulfillment does not imply that every requested capability completed. In the final monthly comparison question, the response gave both August donation amounts and their ordering, but could not calculate the difference, ratio, or growth because the Code Interpreter model deployment returned an execution error. This individual failure does not establish platform-wide availability or unavailability and is kept separate from other measured capability results.</w:t>
      </w:r>
    </w:p>
    <w:p>
      <w:pPr>
        <w:spacing w:after="140"/>
      </w:pPr>
      <w:r>
        <w:rPr>
          <w:b w:val="0"/>
          <w:sz w:val="20"/>
          <w:rFonts w:ascii="Noto Sans CJK JP" w:hAnsi="Noto Sans CJK JP" w:eastAsia="Noto Sans CJK JP" w:cs="Noto Sans CJK JP"/>
        </w:rPr>
        <w:t>最終評価後の別枠1問では、SQLの返却は順位列を含む10行・5列で、ダウンロードしたCSVの指定4列は全10行の値と順序が一致し、6桁の自治体IDの先頭0も保持されていました。取得した横棒グラフは、上位10自治体の順序・金額、日本語、StaticSeed・2025年・円の表記を実画像で確認しました。これは実際に取得した成果物とSQL結果の整合性の確認です。</w:t>
      </w:r>
    </w:p>
    <w:p>
      <w:pPr>
        <w:spacing w:after="140"/>
      </w:pPr>
      <w:r>
        <w:rPr>
          <w:b w:val="0"/>
          <w:sz w:val="20"/>
          <w:rFonts w:ascii="Noto Sans CJK JP" w:hAnsi="Noto Sans CJK JP" w:eastAsia="Noto Sans CJK JP" w:cs="Noto Sans CJK JP"/>
        </w:rPr>
        <w:t>In the separate one-question check after final evaluation, the four requested CSV columns matched those columns of the ten-row SQL result (five columns including rank), in the same order. Leading zeros in six-digit municipality IDs were preserved. The returned horizontal chart was actually viewed: all ten municipalities, ordering, amounts, Japanese labels and the StaticSeed, 2025 and yen title were legible and consistent. This verifies the returned artifacts against the executed SQL result.</w:t>
      </w:r>
    </w:p>
    <w:p>
      <w:pPr>
        <w:spacing w:after="140"/>
      </w:pPr>
      <w:r>
        <w:rPr>
          <w:b w:val="0"/>
          <w:sz w:val="20"/>
          <w:rFonts w:ascii="Noto Sans CJK JP" w:hAnsi="Noto Sans CJK JP" w:eastAsia="Noto Sans CJK JP" w:cs="Noto Sans CJK JP"/>
        </w:rPr>
        <w:t>この追加確認の厳密な能力判定はinconclusiveです。実SQLは日付で絞らない静的スナップショット全体を参照し、UTC暦年かJST暦年かの明示がなかったため、固定した暦年参照との独立比較は行っていません。コードと成果物を返すfunction記録はありますが、native Code Interpreterの完了状態・標準出力と入力ファイルの実bytesの結合は取得できず、native実行の完全な合格とは扱いません。</w:t>
      </w:r>
    </w:p>
    <w:p>
      <w:pPr>
        <w:spacing w:after="140"/>
      </w:pPr>
      <w:r>
        <w:rPr>
          <w:b w:val="0"/>
          <w:sz w:val="20"/>
          <w:rFonts w:ascii="Noto Sans CJK JP" w:hAnsi="Noto Sans CJK JP" w:eastAsia="Noto Sans CJK JP" w:cs="Noto Sans CJK JP"/>
        </w:rPr>
        <w:t>The strict capability result remains inconclusive. The executed SQL queried the full static snapshot without date filtering or an explicit UTC/JST calendar-year statement, so no independent comparison with the fixed calendar reference was performed. Function records returned code and artifacts, but did not expose a completed native Code Interpreter status, stdout or binding to the actual input-file bytes. These observations do not establish a full native execution pass.</w:t>
      </w:r>
    </w:p>
    <w:p>
      <w:pPr>
        <w:spacing w:after="140"/>
      </w:pPr>
      <w:r>
        <w:rPr>
          <w:b w:val="0"/>
          <w:sz w:val="20"/>
          <w:rFonts w:ascii="Noto Sans CJK JP" w:hAnsi="Noto Sans CJK JP" w:eastAsia="Noto Sans CJK JP" w:cs="Noto Sans CJK JP"/>
        </w:rPr>
        <w:t>追加確認の最終回答には、実行したSQLの再掲にも誤りがありました。実SQLはMunicipalityNameをMunicipalityDisplayNameという別名で返しましたが、回答はMunicipalityDisplayNameを直接選ぶ異なるSQLを「実行したSQL」として示しました。CSV・画像の整合性とは別の誤りとして記録し、引用されたSQLを試すための再質問や再実行はしていません。</w:t>
      </w:r>
    </w:p>
    <w:p>
      <w:pPr>
        <w:spacing w:after="140"/>
      </w:pPr>
      <w:r>
        <w:rPr>
          <w:b w:val="0"/>
          <w:sz w:val="20"/>
          <w:rFonts w:ascii="Noto Sans CJK JP" w:hAnsi="Noto Sans CJK JP" w:eastAsia="Noto Sans CJK JP" w:cs="Noto Sans CJK JP"/>
        </w:rPr>
        <w:t>The capability response also quoted the executed SQL inaccurately. The actual query selected MunicipalityName AS MunicipalityDisplayName, while the final answer presented a different query selecting MunicipalityDisplayName directly as the executed SQL. This reproduction error is recorded separately from CSV/chart consistency. No question or query was rerun to test the quoted version.</w:t>
      </w:r>
    </w:p>
    <w:p>
      <w:pPr>
        <w:pStyle w:val="Heading1"/>
        <w:keepNext/>
        <w:pageBreakBefore w:val="0"/>
        <w:spacing w:before="520" w:after="120"/>
        <w:pBdr>
          <w:bottom w:val="single" w:sz="6" w:space="0" w:color="D0D7DE"/>
        </w:pBdr>
      </w:pPr>
      <w:r>
        <w:rPr>
          <w:rFonts w:ascii="Noto Sans CJK JP" w:hAnsi="Noto Sans CJK JP" w:eastAsia="Noto Sans CJK JP" w:cs="Noto Sans CJK JP"/>
        </w:rPr>
        <w:t>校正と再評価の手順 / Calibration and reevaluation procedure</w:t>
      </w:r>
    </w:p>
    <w:p>
      <w:pPr>
        <w:spacing w:after="140"/>
      </w:pPr>
      <w:r>
        <w:rPr>
          <w:b w:val="0"/>
          <w:sz w:val="20"/>
          <w:rFonts w:ascii="Noto Sans CJK JP" w:hAnsi="Noto Sans CJK JP" w:eastAsia="Noto Sans CJK JP" w:cs="Noto Sans CJK JP"/>
        </w:rPr>
        <w:t>1. 改善前の質問・採点条件・データと公開定義を固定し、質問ごとに独立した新規会話を使います。要求を送信した可能性がある中断枠を再送せず、返答の内容、実際の照会と返却データ、エラーと取得不能な証拠をそれぞれ記録します。</w:t>
      </w:r>
    </w:p>
    <w:p>
      <w:pPr>
        <w:spacing w:after="140"/>
      </w:pPr>
      <w:r>
        <w:rPr>
          <w:b w:val="0"/>
          <w:sz w:val="20"/>
          <w:rFonts w:ascii="Noto Sans CJK JP" w:hAnsi="Noto Sans CJK JP" w:eastAsia="Noto Sans CJK JP" w:cs="Noto Sans CJK JP"/>
        </w:rPr>
        <w:t>1. Freeze the baseline questions, rubric, business data and published definition, and use a separate fresh conversation for each question. Do not resubmit a disrupted slot that may already have been sent. Record answer content, actual queries and returned data, errors and unavailable evidence separately.</w:t>
      </w:r>
    </w:p>
    <w:p>
      <w:pPr>
        <w:spacing w:after="140"/>
      </w:pPr>
      <w:r>
        <w:rPr>
          <w:b w:val="0"/>
          <w:sz w:val="20"/>
          <w:rFonts w:ascii="Noto Sans CJK JP" w:hAnsi="Noto Sans CJK JP" w:eastAsia="Noto Sans CJK JP" w:cs="Noto Sans CJK JP"/>
        </w:rPr>
        <w:t>2. 公開済みの指示を変更した場合は、変更点だけを保存前後で比較し、対象質問で確認してから採用または復元を確定します。その後に全件の最終評価を実施し、全反復、失敗、中断、不明を分母に保持します。調整に用いない保留問題セットは、最終評価の終了後に開いて独立に採点します。</w:t>
      </w:r>
    </w:p>
    <w:p>
      <w:pPr>
        <w:spacing w:after="140"/>
      </w:pPr>
      <w:r>
        <w:rPr>
          <w:b w:val="0"/>
          <w:sz w:val="20"/>
          <w:rFonts w:ascii="Noto Sans CJK JP" w:hAnsi="Noto Sans CJK JP" w:eastAsia="Noto Sans CJK JP" w:cs="Noto Sans CJK JP"/>
        </w:rPr>
        <w:t>2. When published instructions change, compare only the intended changes before and after saving, test the targeted questions, and explicitly adopt or restore the profile. Run the complete final campaign afterward and retain every repeat, failure, interruption and unknown in the denominator. Open and independently grade the heldout sets not used for tuning only after final closure.</w:t>
      </w:r>
    </w:p>
    <w:p>
      <w:pPr>
        <w:spacing w:after="140"/>
      </w:pPr>
      <w:r>
        <w:rPr>
          <w:b w:val="0"/>
          <w:sz w:val="20"/>
          <w:rFonts w:ascii="Noto Sans CJK JP" w:hAnsi="Noto Sans CJK JP" w:eastAsia="Noto Sans CJK JP" w:cs="Noto Sans CJK JP"/>
        </w:rPr>
        <w:t>3. 補助条件充足率は事実だけでなく、必要なID・見出し・回答要素・ソース経路も含みます。native実行証拠に基づく厳密な合格、実際のソース実行、回答内容の充足を別に示し、取得不能だった証拠が回復したことを確実な因果的改善と表現しません。</w:t>
      </w:r>
    </w:p>
    <w:p>
      <w:pPr>
        <w:spacing w:after="140"/>
      </w:pPr>
      <w:r>
        <w:rPr>
          <w:b w:val="0"/>
          <w:sz w:val="20"/>
          <w:rFonts w:ascii="Noto Sans CJK JP" w:hAnsi="Noto Sans CJK JP" w:eastAsia="Noto Sans CJK JP" w:cs="Noto Sans CJK JP"/>
        </w:rPr>
        <w:t>3. Supplemental condition fulfillment includes factual content, required IDs, headings, completeness and source routes. Report strict native-evidence acceptance, observed source execution and content fulfillment separately. Recovery of previously unavailable evidence does not establish a causal tuning improvement.</w:t>
      </w:r>
    </w:p>
    <w:p>
      <w:pPr>
        <w:spacing w:after="140"/>
      </w:pPr>
      <w:r>
        <w:rPr>
          <w:b w:val="0"/>
          <w:sz w:val="20"/>
          <w:rFonts w:ascii="Noto Sans CJK JP" w:hAnsi="Noto Sans CJK JP" w:eastAsia="Noto Sans CJK JP" w:cs="Noto Sans CJK JP"/>
        </w:rPr>
        <w:t>4. WordとHTMLは同じ確定データから生成し、HTMLの表示・操作・印刷とLibreOfficeによるWordのPDF変換を実行します。すべての出力ページを実際に見て、欠字・切れ・表の読みやすさを確認し、検証したファイルのハッシュとソースcommitを結び付けます。Microsoft Wordでの実行確認は別の項目です。</w:t>
      </w:r>
    </w:p>
    <w:p>
      <w:pPr>
        <w:spacing w:after="140"/>
      </w:pPr>
      <w:r>
        <w:rPr>
          <w:b w:val="0"/>
          <w:sz w:val="20"/>
          <w:rFonts w:ascii="Noto Sans CJK JP" w:hAnsi="Noto Sans CJK JP" w:eastAsia="Noto Sans CJK JP" w:cs="Noto Sans CJK JP"/>
        </w:rPr>
        <w:t>4. Generate Word and HTML from the same closed data, run HTML display, interaction and print checks, and export the Word document to PDF using LibreOffice. Actually inspect every output page for missing glyphs, clipping and table readability, and bind the tested file hashes to the source commit. Execution in Microsoft Word is a separate check.</w:t>
      </w:r>
    </w:p>
    <w:p>
      <w:pPr>
        <w:pStyle w:val="Heading1"/>
        <w:keepNext/>
        <w:pageBreakBefore w:val="0"/>
        <w:spacing w:before="520" w:after="120"/>
        <w:pBdr>
          <w:bottom w:val="single" w:sz="6" w:space="0" w:color="D0D7DE"/>
        </w:pBdr>
      </w:pPr>
      <w:r>
        <w:rPr>
          <w:rFonts w:ascii="Noto Sans CJK JP" w:hAnsi="Noto Sans CJK JP" w:eastAsia="Noto Sans CJK JP" w:cs="Noto Sans CJK JP"/>
        </w:rPr>
        <w:t>推奨と資料の整合性 / Recommendation and artifact consistency</w:t>
      </w:r>
    </w:p>
    <w:p>
      <w:pPr>
        <w:spacing w:after="140"/>
      </w:pPr>
      <w:r>
        <w:rPr>
          <w:b w:val="0"/>
          <w:sz w:val="20"/>
          <w:rFonts w:ascii="Noto Sans CJK JP" w:hAnsi="Noto Sans CJK JP" w:eastAsia="Noto Sans CJK JP" w:cs="Noto Sans CJK JP"/>
        </w:rPr>
        <w:t>採用済みの指示修正は、実測した回答要素とソースの使い分けを明確にする範囲で維持します。Ontology consumer、Time Seriesのnative実行、Metricsと実行証拠の不足を、指示文だけで解消したとは扱いません。固定条件外の追加説明にも誤りが残るため、重要な数値・関係・時刻は実データと照合してください。追加の修正は別の変更単位として質問・分母・採用基準を先に固定し、同じ構成の全件再評価と資料の再生成・実描画確認を伴わせます。</w:t>
      </w:r>
    </w:p>
    <w:p>
      <w:pPr>
        <w:spacing w:after="140"/>
      </w:pPr>
      <w:r>
        <w:rPr>
          <w:b w:val="0"/>
          <w:sz w:val="20"/>
          <w:rFonts w:ascii="Noto Sans CJK JP" w:hAnsi="Noto Sans CJK JP" w:eastAsia="Noto Sans CJK JP" w:cs="Noto Sans CJK JP"/>
        </w:rPr>
        <w:t>Retain the adopted instruction changes within their measured scope of clearer answer elements and source distinctions. They do not establish resolution of Ontology consumption, native Time Series execution, Metrics or missing execution evidence. Additional prose can still be wrong outside the fixed conditions, so verify important values, relationships and times against actual data. Treat further changes as separate revisions with questions, denominators and adoption criteria fixed beforehand, followed by a full campaign on the same configuration and regenerated, actually rendered materials.</w:t>
      </w:r>
    </w:p>
    <w:p>
      <w:pPr>
        <w:spacing w:after="140"/>
      </w:pPr>
      <w:r>
        <w:rPr>
          <w:b w:val="0"/>
          <w:sz w:val="20"/>
          <w:rFonts w:ascii="Noto Sans CJK JP" w:hAnsi="Noto Sans CJK JP" w:eastAsia="Noto Sans CJK JP" w:cs="Noto Sans CJK JP"/>
        </w:rPr>
        <w:t>WordとHTMLは同一の共有本文・集計JSONから生成します。本文・表の一致、公開情報検査、General分類と対応SHAを確認します。Microsoft Wordの描画・ページ割りとブラウザー操作は、別の実検証receiptがない限り未確認です。資料検証とmainへのマージは、AI回答や全native機能の受入証明ではありません。</w:t>
      </w:r>
    </w:p>
    <w:p>
      <w:pPr>
        <w:spacing w:after="140"/>
      </w:pPr>
      <w:r>
        <w:rPr>
          <w:b w:val="0"/>
          <w:sz w:val="20"/>
          <w:rFonts w:ascii="Noto Sans CJK JP" w:hAnsi="Noto Sans CJK JP" w:eastAsia="Noto Sans CJK JP" w:cs="Noto Sans CJK JP"/>
        </w:rPr>
        <w:t>Word and HTML are generated from the same shared content and summary JSON. Text/table parity, public-information checks, General classification and paired hashes are checked. Microsoft Word rendering/pagination and browser interaction remain unverified without separate actual receipts. Artifact validation and merging main do not certify AI-answer or all-native-feature acceptance.</w:t>
      </w:r>
    </w:p>
    <w:p>
      <w:pPr>
        <w:pStyle w:val="Heading1"/>
        <w:keepNext/>
        <w:pageBreakBefore w:val="0"/>
        <w:spacing w:before="520" w:after="120"/>
        <w:pBdr>
          <w:bottom w:val="single" w:sz="6" w:space="0" w:color="D0D7DE"/>
        </w:pBdr>
      </w:pPr>
      <w:r>
        <w:rPr>
          <w:rFonts w:ascii="Noto Sans CJK JP" w:hAnsi="Noto Sans CJK JP" w:eastAsia="Noto Sans CJK JP" w:cs="Noto Sans CJK JP"/>
        </w:rPr>
        <w:t>構成と証跡の指紋 / Configuration and evidence fingerprints</w:t>
      </w:r>
    </w:p>
    <w:p>
      <w:pPr>
        <w:spacing w:after="140"/>
      </w:pPr>
      <w:r>
        <w:rPr>
          <w:b w:val="0"/>
          <w:sz w:val="20"/>
          <w:rFonts w:ascii="Noto Sans CJK JP" w:hAnsi="Noto Sans CJK JP" w:eastAsia="Noto Sans CJK JP" w:cs="Noto Sans CJK JP"/>
        </w:rPr>
        <w:t>以下は私有記録を照合するSHA-256です。私有証跡の公開や独立検証を意味しません。実際のWorkspace/Item ID、質問本文、正解、実回答、生trace、認証は含めません。</w:t>
      </w:r>
    </w:p>
    <w:p>
      <w:pPr>
        <w:spacing w:after="140"/>
      </w:pPr>
      <w:r>
        <w:rPr>
          <w:b w:val="0"/>
          <w:sz w:val="20"/>
          <w:rFonts w:ascii="Noto Sans CJK JP" w:hAnsi="Noto Sans CJK JP" w:eastAsia="Noto Sans CJK JP" w:cs="Noto Sans CJK JP"/>
        </w:rPr>
        <w:t>These SHA-256 values reconcile private records; they do not publish or independently verify the evidence. Live workspace/item identifiers, question text, answer keys, actual responses, raw traces and credentials are omitted.</w:t>
      </w:r>
    </w:p>
    <w:tbl>
      <w:tblPr>
        <w:tblStyle w:val="TableGrid"/>
        <w:tblW w:type="auto" w:w="0"/>
        <w:jc w:val="center"/>
        <w:tblLayout w:type="fixed"/>
        <w:tblLook w:firstColumn="1" w:firstRow="1" w:lastColumn="0" w:lastRow="0" w:noHBand="0" w:noVBand="1" w:val="04A0"/>
        <w:tblCaption w:val="表 6"/>
        <w:tblDescription w:val="評価・校正 / Evaluation and calibration"/>
      </w:tblPr>
      <w:tblGrid>
        <w:gridCol w:w="4819"/>
        <w:gridCol w:w="4819"/>
      </w:tblGrid>
      <w:tr>
        <w:trPr>
          <w:tblHeader w:val="true"/>
          <w:cantSplit w:val="true"/>
        </w:trPr>
        <w:tc>
          <w:tcPr>
            <w:tcW w:type="dxa" w:w="2811"/>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対象 / Record</w:t>
            </w:r>
          </w:p>
        </w:tc>
        <w:tc>
          <w:tcPr>
            <w:tcW w:type="dxa" w:w="6827"/>
            <w:shd w:val="clear" w:color="auto" w:fill="174C88"/>
          </w:tcPr>
          <w:p>
            <w:pPr>
              <w:spacing w:after="20" w:before="20"/>
            </w:pPr>
            <w:r>
              <w:rPr>
                <w:rFonts w:ascii="Noto Sans CJK JP" w:hAnsi="Noto Sans CJK JP" w:eastAsia="Noto Sans CJK JP" w:cs="Noto Sans CJK JP"/>
              </w:rPr>
            </w:r>
            <w:r>
              <w:rPr>
                <w:b/>
                <w:color w:val="FFFFFF"/>
                <w:sz w:val="16"/>
                <w:rFonts w:ascii="Noto Sans CJK JP" w:hAnsi="Noto Sans CJK JP" w:eastAsia="Noto Sans CJK JP" w:cs="Noto Sans CJK JP"/>
              </w:rPr>
              <w:t>SHA-256</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Protocol</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5d8fac8fac5298e257d476024e8c0c9523e4324db3321d62a0fe1845b9f6a598</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Exact paired ledger</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2ac9f5bc87deb7777b5bb980d16ae1d95ed6206fc3edf8f247550fb8bb58ee8b</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publicationDefinitionSha256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a65f2e541a31ade0772dc84754595f0f82a3088b62029ac41a0de8b89039b6c8</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sourceDefinitionSha256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db74ef382d6de53a06fbbe696132adc267e8a7784952dd448fad35ae919125ec</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sourceBusinessSha256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33ee055cda88ae02c0145ab2a45877170563088e017afcf697051e9835047c53</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captureLedgerSha256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4b6161e5f55140fe63c8146e074a90bb96c6622fb649f6ea91b45c08a87a49c1</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contentReviewLedgerSha256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7b6bcebf804124cba67df63ae9af2e541731f3fc8a0c70f3dddacebe4eb5258c</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strictNativeReviewLedgerSha256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7b6bcebf804124cba67df63ae9af2e541731f3fc8a0c70f3dddacebe4eb5258c</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qualification / independentContentReviewSha256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17631f3e9e0a336d5a90e423adaf4d799df487415250fbcd731e40957ff41144</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publicationDefinitionSha256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a65f2e541a31ade0772dc84754595f0f82a3088b62029ac41a0de8b89039b6c8</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sourceDefinitionSha256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a6969830a0a73450ddc065c97751b99d3cde3267a9cec5c3712ceea286c30d57</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sourceBusinessSha256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33ee055cda88ae02c0145ab2a45877170563088e017afcf697051e9835047c53</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captureLedgerSha256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f6650e2231a72ab06351231c0290b0436f845c590bb6215a6975020dddf114d7</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contentReviewLedgerSha256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413a36338d9ae114fa0e06f0d514b002779a85f0919e7f2e1f796c8dcc8b13e7</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strictNativeReviewLedgerSha256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413a36338d9ae114fa0e06f0d514b002779a85f0919e7f2e1f796c8dcc8b13e7</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baseline / independentContentReviewSha256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44b49dedf2ccb966ba47d5b05ae53ee3469e98b692383ea0b37981d52138b402</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publicationDefinitionSha256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fd8c8659e88c2505a237debf8309ccfcebbd4f95441856f20ca3842d448c15b6</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sourceDefinitionSha256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d2e06787ec1e6b8a4e6839ef9e856812c6ebddbfe36b59db489935e74e3a6084</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sourceBusinessSha256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33ee055cda88ae02c0145ab2a45877170563088e017afcf697051e9835047c53</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captureLedgerSha256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ff90802787e117bc23657df6e30ec1f7531ece22334149af5968899449ffcc2f</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contentReviewLedgerSha256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3d9da9543927f2f435e8abf7beca969b8db999681e630f694c727a6614dd60bb</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strictNativeReviewLedgerSha256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3d9da9543927f2f435e8abf7beca969b8db999681e630f694c727a6614dd60bb</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targeted-01 / independentContentReviewSha256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0d6eb9b4d955dcb21399d9764477cad2ca389beb265b9152a54f41d021f4434f</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publicationDefinitionSha256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a2205702f4c0d29334459bfd7e593fefc0961fd5e9418345f093f3ab07dc3112</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sourceDefinitionSha256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74a30bcf456d9bf2ffd4f9f41b93e0e82c02e7dbedbb770732dd99f3842fa026</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sourceBusinessSha256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33ee055cda88ae02c0145ab2a45877170563088e017afcf697051e9835047c53</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captureLedgerSha256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76b0af1f80afc314ba5986d0392d134044e5ea4c1c96d6becbd6a45826cc8c08</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contentReviewLedgerSha256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76631016ae355c33bf5b16124ba560e43ada96d6ee03344b92a6334571bb252c</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strictNativeReviewLedgerSha256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76631016ae355c33bf5b16124ba560e43ada96d6ee03344b92a6334571bb252c</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targeted-02 / independentContentReviewSha256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3cbd9a8e45e3a8af384cf1c1b569af071cbfd1ff3810c03e8105cde6ded2313b</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publicationDefinitionSha256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a2205702f4c0d29334459bfd7e593fefc0961fd5e9418345f093f3ab07dc3112</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sourceDefinitionSha256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a8c949f36fd98880ab5be1d494bd9449bf5bd805466d464371450aff58ce0d66</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sourceBusinessSha256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33ee055cda88ae02c0145ab2a45877170563088e017afcf697051e9835047c53</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captureLedgerSha256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78f87cf6d6cc9f671767750c69094c4ff41b4777b6cca9ff447bb35147928d5f</w:t>
            </w:r>
          </w:p>
        </w:tc>
      </w:tr>
      <w:tr>
        <w:trPr>
          <w:cantSplit w:val="true"/>
        </w:trPr>
        <w:tc>
          <w:tcPr>
            <w:tcW w:type="dxa" w:w="2811"/>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contentReviewLedgerSha256</w:t>
            </w:r>
          </w:p>
        </w:tc>
        <w:tc>
          <w:tcPr>
            <w:tcW w:type="dxa" w:w="6827"/>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290f2514db60306014c1779794f257430adf8cb634f06db33373a83e6fa5617a</w:t>
            </w:r>
          </w:p>
        </w:tc>
      </w:tr>
      <w:tr>
        <w:trPr>
          <w:cantSplit w:val="true"/>
        </w:trPr>
        <w:tc>
          <w:tcPr>
            <w:tcW w:type="dxa" w:w="2811"/>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strictNativeReviewLedgerSha256</w:t>
            </w:r>
          </w:p>
        </w:tc>
        <w:tc>
          <w:tcPr>
            <w:tcW w:type="dxa" w:w="6827"/>
            <w:shd w:val="clear" w:color="auto" w:fill="EEF3F9"/>
          </w:tcPr>
          <w:p>
            <w:pPr>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290f2514db60306014c1779794f257430adf8cb634f06db33373a83e6fa5617a</w:t>
            </w:r>
          </w:p>
        </w:tc>
      </w:tr>
      <w:tr>
        <w:trPr>
          <w:cantSplit w:val="true"/>
        </w:trPr>
        <w:tc>
          <w:tcPr>
            <w:tcW w:type="dxa" w:w="2811"/>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final / independentContentReviewSha256</w:t>
            </w:r>
          </w:p>
        </w:tc>
        <w:tc>
          <w:tcPr>
            <w:tcW w:type="dxa" w:w="6827"/>
          </w:tcPr>
          <w:p>
            <w:pPr>
              <w:keepNext/>
              <w:spacing w:after="20" w:before="20" w:line="252" w:lineRule="auto"/>
            </w:pPr>
            <w:r>
              <w:rPr>
                <w:rFonts w:ascii="Noto Sans CJK JP" w:hAnsi="Noto Sans CJK JP" w:eastAsia="Noto Sans CJK JP" w:cs="Noto Sans CJK JP"/>
              </w:rPr>
            </w:r>
            <w:r>
              <w:rPr>
                <w:sz w:val="16"/>
                <w:rFonts w:ascii="Noto Sans CJK JP" w:hAnsi="Noto Sans CJK JP" w:eastAsia="Noto Sans CJK JP" w:cs="Noto Sans CJK JP"/>
              </w:rPr>
              <w:t>88f7272f24bd891a28eb4fc52f076571ede24caa41add7221e9b9157cad023a1</w:t>
            </w:r>
          </w:p>
        </w:tc>
      </w:tr>
    </w:tbl>
    <w:p>
      <w:pPr>
        <w:pStyle w:val="Caption"/>
        <w:spacing w:before="40" w:after="200"/>
        <w:jc w:val="left"/>
      </w:pPr>
      <w:r>
        <w:rPr>
          <w:sz w:val="17"/>
          <w:rFonts w:ascii="Noto Sans CJK JP" w:hAnsi="Noto Sans CJK JP" w:eastAsia="Noto Sans CJK JP" w:cs="Noto Sans CJK JP"/>
        </w:rPr>
        <w:t>表 6　評価・校正 / Evaluation and calibration</w:t>
      </w:r>
    </w:p>
    <w:p>
      <w:r>
        <w:rPr>
          <w:b w:val="0"/>
          <w:sz w:val="16"/>
          <w:rFonts w:ascii="Noto Sans CJK JP" w:hAnsi="Noto Sans CJK JP" w:eastAsia="Noto Sans CJK JP" w:cs="Noto Sans CJK JP"/>
        </w:rPr>
        <w:t>Source summary SHA-256: 935191c15a9a8505c2f7bf880f64f17d483210c5654331b058a86ccdb148e64c</w:t>
      </w:r>
    </w:p>
    <w:p>
      <w:r>
        <w:rPr>
          <w:b w:val="0"/>
          <w:sz w:val="16"/>
          <w:rFonts w:ascii="Noto Sans CJK JP" w:hAnsi="Noto Sans CJK JP" w:eastAsia="Noto Sans CJK JP" w:cs="Noto Sans CJK JP"/>
        </w:rPr>
        <w:t>Shared content SHA-256: d86b145096f972cfca1980197c2c8feecdde80f5d1142e039b04f8f5c6e5fe18</w:t>
      </w:r>
    </w:p>
    <w:sectPr>
      <w:headerReference w:type="default" r:id="rIdHeader1"/>
      <w:footerReference w:type="default" r:id="rIdFooter1"/>
      <w:headerReference w:type="first" r:id="rIdHeaderCover"/>
      <w:footerReference w:type="first" r:id="rIdFooterCover"/>
      <w:pgSz w:w="11906" w:h="16838"/>
      <w:pgMar w:top="1134" w:right="1134" w:bottom="1020" w:left="1134" w:header="454" w:footer="454" w:gutter="0"/>
      <w:titlePg/>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01" w14:textId="10000002" w:rsidR="00A17E3C" w:rsidRDefault="00A17E3C">
      <w:pPr>
        <w:spacing w:after="0" w:line="240" w:lineRule="auto"/>
      </w:pPr>
      <w:r>
        <w:separator/>
      </w:r>
    </w:p>
  </w:endnote>
  <w:endnote w:type="continuationSeparator" w:id="0">
    <w:p w14:paraId="10000003" w14:textId="10000004"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r="http://schemas.openxmlformats.org/officeDocument/2006/relationships"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05" w14:textId="10000006" w:rsidR="00A17E3C" w:rsidRDefault="00A17E3C">
      <w:pPr>
        <w:spacing w:after="0" w:line="240" w:lineRule="auto"/>
      </w:pPr>
      <w:r>
        <w:separator/>
      </w:r>
    </w:p>
  </w:footnote>
  <w:footnote w:type="continuationSeparator" w:id="0">
    <w:p w14:paraId="10000007" w14:textId="10000008"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r="http://schemas.openxmlformats.org/officeDocument/2006/relationships"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JP" w:hAnsi="Noto Sans CJK JP" w:eastAsia="Noto Sans CJK JP" w:cs="Noto Sans CJK JP"/>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Noto Sans CJK JP" w:hAnsi="Noto Sans CJK JP" w:eastAsia="Noto Sans CJK JP" w:cs="Noto Sans CJK JP"/>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Noto Sans CJK JP" w:hAnsi="Noto Sans CJK JP" w:eastAsia="Noto Sans CJK JP" w:cs="Noto Sans CJK JP"/>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cs="Noto Sans CJK JP"/>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Noto Sans CJK JP" w:hAnsi="Noto Sans CJK JP" w:eastAsia="Noto Sans CJK JP" w:cs="Noto Sans CJK JP"/>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cs="Noto Sans CJK JP"/>
    </w:rPr>
  </w:style>
  <w:style w:type="table" w:default="1" w:styleId="TableNormal">
    <w:name w:val="Normal Table"/>
    <w:uiPriority w:val="99"/>
    <w:semiHidden/>
    <w:unhideWhenUsed/>
    <w:rPr>
      <w:rFonts w:ascii="Noto Sans CJK JP" w:hAnsi="Noto Sans CJK JP" w:eastAsia="Noto Sans CJK JP" w:cs="Noto Sans CJK JP"/>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HeaderChar">
    <w:name w:val="Header Char"/>
    <w:basedOn w:val="DefaultParagraphFont"/>
    <w:link w:val="Header"/>
    <w:uiPriority w:val="99"/>
    <w:rsid w:val="00E618BF"/>
    <w:rPr>
      <w:rFonts w:ascii="Noto Sans CJK JP" w:eastAsia="Noto Sans CJK JP" w:hAnsi="Noto Sans CJK JP" w:cs="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FooterChar">
    <w:name w:val="Footer Char"/>
    <w:basedOn w:val="DefaultParagraphFont"/>
    <w:link w:val="Footer"/>
    <w:uiPriority w:val="99"/>
    <w:rsid w:val="00E618BF"/>
    <w:rPr>
      <w:rFonts w:ascii="Noto Sans CJK JP" w:eastAsia="Noto Sans CJK JP" w:hAnsi="Noto Sans CJK JP" w:cs="Noto Sans CJK JP"/>
    </w:rPr>
  </w:style>
  <w:style w:type="paragraph" w:styleId="NoSpacing">
    <w:name w:val="No Spacing"/>
    <w:uiPriority w:val="1"/>
    <w:qFormat/>
    <w:rsid w:val="00FC693F"/>
    <w:pPr>
      <w:spacing w:after="0" w:line="240" w:lineRule="auto"/>
    </w:pPr>
    <w:rPr>
      <w:rFonts w:ascii="Noto Sans CJK JP" w:hAnsi="Noto Sans CJK JP" w:eastAsia="Noto Sans CJK JP" w:cs="Noto Sans CJK JP"/>
    </w:rPr>
  </w:style>
  <w:style w:type="character" w:customStyle="1" w:styleId="Heading1Char">
    <w:name w:val="Heading 1 Char"/>
    <w:basedOn w:val="DefaultParagraphFont"/>
    <w:link w:val="Heading1"/>
    <w:uiPriority w:val="9"/>
    <w:rsid w:val="00FC693F"/>
    <w:rPr>
      <w:rFonts w:ascii="Noto Sans CJK JP" w:eastAsia="Noto Sans CJK JP" w:hAnsi="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eastAsia="Noto Sans CJK JP" w:hAnsi="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eastAsia="Noto Sans CJK JP" w:hAnsi="Noto Sans CJK JP" w:cs="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Noto Sans CJK JP" w:hAnsi="Noto Sans CJK JP" w:eastAsia="Noto Sans CJK JP" w:cs="Noto Sans CJK JP"/>
      <w:b/>
      <w:color w:val="174C88"/>
      <w:spacing w:val="5"/>
      <w:kern w:val="28"/>
      <w:sz w:val="60"/>
      <w:szCs w:val="52"/>
    </w:rPr>
  </w:style>
  <w:style w:type="character" w:customStyle="1" w:styleId="TitleChar">
    <w:name w:val="Title Char"/>
    <w:basedOn w:val="DefaultParagraphFont"/>
    <w:link w:val="Title"/>
    <w:uiPriority w:val="10"/>
    <w:rsid w:val="00FC693F"/>
    <w:rPr>
      <w:rFonts w:ascii="Noto Sans CJK JP" w:eastAsia="Noto Sans CJK JP" w:hAnsi="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eastAsia="Noto Sans CJK JP" w:hAnsi="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rPr>
  </w:style>
  <w:style w:type="character" w:customStyle="1" w:styleId="BodyTextChar">
    <w:name w:val="Body Text Char"/>
    <w:basedOn w:val="DefaultParagraphFont"/>
    <w:link w:val="BodyText"/>
    <w:uiPriority w:val="99"/>
    <w:rsid w:val="00AA1D8D"/>
    <w:rPr>
      <w:rFonts w:ascii="Noto Sans CJK JP" w:eastAsia="Noto Sans CJK JP" w:hAnsi="Noto Sans CJK JP" w:cs="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cs="Noto Sans CJK JP"/>
    </w:rPr>
  </w:style>
  <w:style w:type="character" w:customStyle="1" w:styleId="BodyText2Char">
    <w:name w:val="Body Text 2 Char"/>
    <w:basedOn w:val="DefaultParagraphFont"/>
    <w:link w:val="BodyText2"/>
    <w:uiPriority w:val="99"/>
    <w:rsid w:val="00AA1D8D"/>
    <w:rPr>
      <w:rFonts w:ascii="Noto Sans CJK JP" w:eastAsia="Noto Sans CJK JP" w:hAnsi="Noto Sans CJK JP" w:cs="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cs="Noto Sans CJK JP"/>
      <w:sz w:val="16"/>
      <w:szCs w:val="16"/>
    </w:rPr>
  </w:style>
  <w:style w:type="character" w:customStyle="1" w:styleId="BodyText3Char">
    <w:name w:val="Body Text 3 Char"/>
    <w:basedOn w:val="DefaultParagraphFont"/>
    <w:link w:val="BodyText3"/>
    <w:uiPriority w:val="99"/>
    <w:rsid w:val="00AA1D8D"/>
    <w:rPr>
      <w:rFonts w:ascii="Noto Sans CJK JP" w:eastAsia="Noto Sans CJK JP" w:hAnsi="Noto Sans CJK JP" w:cs="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cs="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cs="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cs="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cs="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cs="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cs="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cs="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cs="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cs="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cs="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eastAsia="Noto Sans CJK JP" w:hAnsi="Noto Sans CJK JP" w:cs="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cs="Noto Sans CJK JP"/>
      <w:i/>
      <w:iCs/>
      <w:color w:val="000000" w:themeColor="text1"/>
    </w:rPr>
  </w:style>
  <w:style w:type="character" w:customStyle="1" w:styleId="QuoteChar">
    <w:name w:val="Quote Char"/>
    <w:basedOn w:val="DefaultParagraphFont"/>
    <w:link w:val="Quote"/>
    <w:uiPriority w:val="29"/>
    <w:rsid w:val="00FC693F"/>
    <w:rPr>
      <w:rFonts w:ascii="Noto Sans CJK JP" w:eastAsia="Noto Sans CJK JP" w:hAnsi="Noto Sans CJK JP" w:cs="Noto Sans CJK JP"/>
      <w:i/>
      <w:iCs/>
      <w:color w:val="000000" w:themeColor="text1"/>
    </w:rPr>
  </w:style>
  <w:style w:type="character" w:customStyle="1" w:styleId="Heading4Char">
    <w:name w:val="Heading 4 Char"/>
    <w:basedOn w:val="DefaultParagraphFont"/>
    <w:link w:val="Heading4"/>
    <w:uiPriority w:val="9"/>
    <w:rsid w:val="00FC693F"/>
    <w:rPr>
      <w:rFonts w:ascii="Noto Sans CJK JP" w:eastAsia="Noto Sans CJK JP" w:hAnsi="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eastAsia="Noto Sans CJK JP" w:hAnsi="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eastAsia="Noto Sans CJK JP" w:hAnsi="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eastAsia="Noto Sans CJK JP" w:hAnsi="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eastAsia="Noto Sans CJK JP" w:hAnsi="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eastAsia="Noto Sans CJK JP" w:hAnsi="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5B6674"/>
      <w:sz w:val="18"/>
      <w:szCs w:val="18"/>
    </w:rPr>
  </w:style>
  <w:style w:type="character" w:styleId="Strong">
    <w:name w:val="Strong"/>
    <w:basedOn w:val="DefaultParagraphFont"/>
    <w:uiPriority w:val="22"/>
    <w:qFormat/>
    <w:rsid w:val="00FC693F"/>
    <w:rPr>
      <w:rFonts w:ascii="Noto Sans CJK JP" w:eastAsia="Noto Sans CJK JP" w:hAnsi="Noto Sans CJK JP" w:cs="Noto Sans CJK JP"/>
      <w:b/>
      <w:bCs/>
    </w:rPr>
  </w:style>
  <w:style w:type="character" w:styleId="Emphasis">
    <w:name w:val="Emphasis"/>
    <w:basedOn w:val="DefaultParagraphFont"/>
    <w:uiPriority w:val="20"/>
    <w:qFormat/>
    <w:rsid w:val="00FC693F"/>
    <w:rPr>
      <w:rFonts w:ascii="Noto Sans CJK JP" w:eastAsia="Noto Sans CJK JP" w:hAnsi="Noto Sans CJK JP" w:cs="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cs="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eastAsia="Noto Sans CJK JP" w:hAnsi="Noto Sans CJK JP" w:cs="Noto Sans CJK JP"/>
      <w:b/>
      <w:bCs/>
      <w:i/>
      <w:iCs/>
      <w:color w:val="4F81BD" w:themeColor="accent1"/>
    </w:rPr>
  </w:style>
  <w:style w:type="character" w:styleId="SubtleEmphasis">
    <w:name w:val="Subtle Emphasis"/>
    <w:basedOn w:val="DefaultParagraphFont"/>
    <w:uiPriority w:val="19"/>
    <w:qFormat/>
    <w:rsid w:val="00FC693F"/>
    <w:rPr>
      <w:rFonts w:ascii="Noto Sans CJK JP" w:eastAsia="Noto Sans CJK JP" w:hAnsi="Noto Sans CJK JP" w:cs="Noto Sans CJK JP"/>
      <w:i/>
      <w:iCs/>
      <w:color w:val="808080" w:themeColor="text1" w:themeTint="7F"/>
    </w:rPr>
  </w:style>
  <w:style w:type="character" w:styleId="IntenseEmphasis">
    <w:name w:val="Intense Emphasis"/>
    <w:basedOn w:val="DefaultParagraphFont"/>
    <w:uiPriority w:val="21"/>
    <w:qFormat/>
    <w:rsid w:val="00FC693F"/>
    <w:rPr>
      <w:rFonts w:ascii="Noto Sans CJK JP" w:eastAsia="Noto Sans CJK JP" w:hAnsi="Noto Sans CJK JP" w:cs="Noto Sans CJK JP"/>
      <w:b/>
      <w:bCs/>
      <w:i/>
      <w:iCs/>
      <w:color w:val="4F81BD" w:themeColor="accent1"/>
    </w:rPr>
  </w:style>
  <w:style w:type="character" w:styleId="SubtleReference">
    <w:name w:val="Subtle Reference"/>
    <w:basedOn w:val="DefaultParagraphFont"/>
    <w:uiPriority w:val="31"/>
    <w:qFormat/>
    <w:rsid w:val="00FC693F"/>
    <w:rPr>
      <w:rFonts w:ascii="Noto Sans CJK JP" w:eastAsia="Noto Sans CJK JP" w:hAnsi="Noto Sans CJK JP" w:cs="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eastAsia="Noto Sans CJK JP" w:hAnsi="Noto Sans CJK JP" w:cs="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eastAsia="Noto Sans CJK JP" w:hAnsi="Noto Sans CJK JP" w:cs="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cs="Noto Sans CJK JP"/>
    </w:rPr>
  </w:style>
  <w:style w:type="table" w:styleId="TableGrid">
    <w:name w:val="Table Grid"/>
    <w:basedOn w:val="TableNormal"/>
    <w:uiPriority w:val="59"/>
    <w:rsid w:val="00FC693F"/>
    <w:pPr>
      <w:spacing w:after="0" w:line="240" w:lineRule="auto"/>
    </w:pPr>
    <w:rPr>
      <w:rFonts w:ascii="Noto Sans CJK JP" w:hAnsi="Noto Sans CJK JP" w:eastAsia="Noto Sans CJK JP" w:cs="Noto Sans CJK 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Noto Sans CJK JP" w:hAnsi="Noto Sans CJK JP" w:eastAsia="Noto Sans CJK JP" w:cs="Noto Sans CJK JP"/>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s="Noto Sans CJK JP"/>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s="Noto Sans CJK JP"/>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s="Noto Sans CJK JP"/>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s="Noto Sans CJK JP"/>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s="Noto Sans CJK JP"/>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s="Noto Sans CJK JP"/>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rPr>
      <w:rFonts w:ascii="Noto Sans CJK JP" w:hAnsi="Noto Sans CJK JP" w:eastAsia="Noto Sans CJK JP" w:cs="Noto Sans CJK JP"/>
    </w:rPr>
  </w:style>
  <w:style w:type="paragraph" w:styleId="TOC2">
    <w:name w:val="toc 2"/>
    <w:basedOn w:val="Normal"/>
    <w:next w:val="Normal"/>
    <w:autoRedefine/>
    <w:uiPriority w:val="39"/>
    <w:unhideWhenUsed/>
    <w:rsid w:val="00C1066F"/>
    <w:pPr>
      <w:ind w:left="210"/>
    </w:pPr>
    <w:rPr>
      <w:rFonts w:ascii="Noto Sans CJK JP" w:hAnsi="Noto Sans CJK JP" w:eastAsia="Noto Sans CJK JP" w:cs="Noto Sans CJK JP"/>
    </w:rPr>
  </w:style>
  <w:style w:type="paragraph" w:styleId="TOC3">
    <w:name w:val="toc 3"/>
    <w:basedOn w:val="Normal"/>
    <w:next w:val="Normal"/>
    <w:autoRedefine/>
    <w:uiPriority w:val="39"/>
    <w:unhideWhenUsed/>
    <w:rsid w:val="00C1066F"/>
    <w:pPr>
      <w:ind w:left="420"/>
    </w:pPr>
    <w:rPr>
      <w:rFonts w:ascii="Noto Sans CJK JP" w:hAnsi="Noto Sans CJK JP" w:eastAsia="Noto Sans CJK JP" w:cs="Noto Sans CJK JP"/>
    </w:rPr>
  </w:style>
  <w:style w:type="character" w:styleId="Hyperlink">
    <w:name w:val="Hyperlink"/>
    <w:basedOn w:val="DefaultParagraphFont"/>
    <w:uiPriority w:val="99"/>
    <w:unhideWhenUsed/>
    <w:rsid w:val="00C1066F"/>
    <w:rPr>
      <w:rFonts w:ascii="Noto Sans CJK JP" w:eastAsia="Noto Sans CJK JP" w:hAnsi="Noto Sans CJK JP" w:cs="Noto Sans CJK JP"/>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character" w:styleId="UnresolvedMention">
    <w:name w:val="Unresolved Mention"/>
    <w:basedOn w:val="DefaultParagraphFont"/>
    <w:uiPriority w:val="99"/>
    <w:semiHidden/>
    <w:unhideWhenUsed/>
    <w:rsid w:val="009A389C"/>
    <w:rPr>
      <w:rFonts w:ascii="Noto Sans CJK JP" w:hAnsi="Noto Sans CJK JP" w:eastAsia="Noto Sans CJK JP" w:cs="Noto Sans CJK JP"/>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Settings" Type="http://schemas.openxmlformats.org/officeDocument/2006/relationships/webSettings" Target="webSettings.xml"/><Relationship Id="rIdFontTable" Type="http://schemas.openxmlformats.org/officeDocument/2006/relationships/fontTable" Target="fontTable.xml"/><Relationship Id="rIdTheme" Type="http://schemas.openxmlformats.org/officeDocument/2006/relationships/theme" Target="theme/theme1.xml"/><Relationship Id="rIdNumbering" Type="http://schemas.openxmlformats.org/officeDocument/2006/relationships/numbering" Target="numbering.xml"/><Relationship Id="rIdFootnotes" Type="http://schemas.openxmlformats.org/officeDocument/2006/relationships/footnotes" Target="footnotes.xml"/><Relationship Id="rIdEndnotes" Type="http://schemas.openxmlformats.org/officeDocument/2006/relationships/endnotes" Target="endnotes.xml"/><Relationship Id="rIdHeader1" Type="http://schemas.openxmlformats.org/officeDocument/2006/relationships/header" Target="header1.xml"/><Relationship Id="rIdFooter1" Type="http://schemas.openxmlformats.org/officeDocument/2006/relationships/footer" Target="footer1.xml"/><Relationship Id="rIdHeaderCover" Type="http://schemas.openxmlformats.org/officeDocument/2006/relationships/header" Target="header2.xml"/><Relationship Id="rIdFooterCover"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 V2・Data Agent 実評価と校正手順 — 2026-10-15</dc:title>
  <dc:subject>Counts-only, separately dated evaluation; content/native judgments remain distinct</dc:subject>
  <dc:creator>Furusato Fabric Workshop</dc:creator>
  <cp:keywords/>
  <dc:description/>
  <cp:lastModifiedBy>Furusato Fabric Workshop</cp:lastModifiedBy>
  <cp:revision>1</cp:revision>
  <dcterms:created xsi:type="dcterms:W3CDTF">2026-10-14T22:07:01Z</dcterms:created>
  <dcterms:modified xsi:type="dcterms:W3CDTF">2026-10-14T22:07:01Z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