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rPr>
          <w:b w:val="0"/>
          <w:rFonts w:ascii="Noto Sans CJK JP" w:hAnsi="Noto Sans CJK JP" w:eastAsia="Noto Sans CJK JP" w:cs="Noto Sans CJK JP"/>
        </w:rPr>
        <w:t>Data Agent 実測改善・校正手順</w:t>
      </w:r>
    </w:p>
    <w:p>
      <w:r>
        <w:rPr>
          <w:b w:val="0"/>
          <w:sz w:val="28"/>
          <w:rFonts w:ascii="Noto Sans CJK JP" w:hAnsi="Noto Sans CJK JP" w:eastAsia="Noto Sans CJK JP" w:cs="Noto Sans CJK JP"/>
        </w:rPr>
        <w:t>Measured improvements, calibration and proofreading</w:t>
      </w:r>
    </w:p>
    <w:p>
      <w:r>
        <w:rPr>
          <w:b w:val="0"/>
          <w:rFonts w:ascii="Noto Sans CJK JP" w:hAnsi="Noto Sans CJK JP" w:eastAsia="Noto Sans CJK JP" w:cs="Noto Sans CJK JP"/>
        </w:rPr>
        <w:t>2026-10-10 · Furusato Workshop 3.0.0 · Separate dated report</w:t>
      </w:r>
    </w:p>
    <w:p>
      <w:pPr>
        <w:pStyle w:val="Heading1"/>
        <w:keepNext/>
        <w:pageBreakBefore w:val="0"/>
        <w:spacing w:before="520" w:after="120"/>
        <w:pBdr>
          <w:bottom w:val="single" w:sz="6" w:space="0" w:color="D0D7DE"/>
        </w:pBdr>
      </w:pPr>
      <w:r>
        <w:rPr>
          <w:rFonts w:ascii="Noto Sans CJK JP" w:hAnsi="Noto Sans CJK JP" w:eastAsia="Noto Sans CJK JP" w:cs="Noto Sans CJK JP"/>
        </w:rPr>
        <w:t>Data Agent の実測改善と適用範囲 / Measured Data Agent improvements</w:t>
      </w:r>
    </w:p>
    <w:p>
      <w:pPr>
        <w:spacing w:after="140"/>
      </w:pPr>
      <w:r>
        <w:rPr>
          <w:b w:val="0"/>
          <w:sz w:val="20"/>
          <w:rFonts w:ascii="Noto Sans CJK JP" w:hAnsi="Noto Sans CJK JP" w:eastAsia="Noto Sans CJK JP" w:cs="Noto Sans CJK JP"/>
        </w:rPr>
        <w:t>2026-10-10 公開資料。実測の参照時点は 2026-10-09 UTC です。</w:t>
      </w:r>
    </w:p>
    <w:p>
      <w:pPr>
        <w:spacing w:after="140"/>
      </w:pPr>
      <w:r>
        <w:rPr>
          <w:b w:val="0"/>
          <w:sz w:val="20"/>
          <w:rFonts w:ascii="Noto Sans CJK JP" w:hAnsi="Noto Sans CJK JP" w:eastAsia="Noto Sans CJK JP" w:cs="Noto Sans CJK JP"/>
        </w:rPr>
        <w:t xml:space="preserve">同じ条件で比較できる219条件の回答内容の一致率は、改善前の </w:t>
      </w:r>
      <w:r>
        <w:rPr>
          <w:b/>
          <w:rFonts w:ascii="Noto Sans CJK JP" w:hAnsi="Noto Sans CJK JP" w:eastAsia="Noto Sans CJK JP" w:cs="Noto Sans CJK JP"/>
        </w:rPr>
        <w:t>111/219(50.68%)から R8 の162/219(73.97%)へ、23.29ポイント改善</w:t>
      </w:r>
      <w:r>
        <w:rPr>
          <w:b w:val="0"/>
          <w:sz w:val="20"/>
          <w:rFonts w:ascii="Noto Sans CJK JP" w:hAnsi="Noto Sans CJK JP" w:eastAsia="Noto Sans CJK JP" w:cs="Noto Sans CJK JP"/>
        </w:rPr>
        <w:t xml:space="preserve">しました。最新 R11 の限定検証では、既存メジャーのフィルターとその説明を対象にした </w:t>
      </w:r>
      <w:r>
        <w:rPr>
          <w:b/>
          <w:rFonts w:ascii="Noto Sans CJK JP" w:hAnsi="Noto Sans CJK JP" w:eastAsia="Noto Sans CJK JP" w:cs="Noto Sans CJK JP"/>
        </w:rPr>
        <w:t>2問4条件すべてが一致</w:t>
      </w:r>
      <w:r>
        <w:rPr>
          <w:b w:val="0"/>
          <w:sz w:val="20"/>
          <w:rFonts w:ascii="Noto Sans CJK JP" w:hAnsi="Noto Sans CJK JP" w:eastAsia="Noto Sans CJK JP" w:cs="Noto Sans CJK JP"/>
        </w:rPr>
        <w:t>し、2件とも取得完了、内部エラーなしでした。この結果を再利用可能な指示と手順へ反映します。将来の全質問に対する精度保証や、全機能の受入完了とは扱いません。</w:t>
      </w:r>
    </w:p>
    <w:p>
      <w:pPr>
        <w:spacing w:after="140"/>
      </w:pPr>
      <w:r>
        <w:rPr>
          <w:b w:val="0"/>
          <w:sz w:val="20"/>
          <w:rFonts w:ascii="Noto Sans CJK JP" w:hAnsi="Noto Sans CJK JP" w:eastAsia="Noto Sans CJK JP" w:cs="Noto Sans CJK JP"/>
        </w:rPr>
        <w:t xml:space="preserve">Measured answer-content agreement improved from </w:t>
      </w:r>
      <w:r>
        <w:rPr>
          <w:b/>
          <w:rFonts w:ascii="Noto Sans CJK JP" w:hAnsi="Noto Sans CJK JP" w:eastAsia="Noto Sans CJK JP" w:cs="Noto Sans CJK JP"/>
        </w:rPr>
        <w:t>111/219 (50.68%) to 162/219 (73.97%) in R8</w:t>
      </w:r>
      <w:r>
        <w:rPr>
          <w:b w:val="0"/>
          <w:sz w:val="20"/>
          <w:rFonts w:ascii="Noto Sans CJK JP" w:hAnsi="Noto Sans CJK JP" w:eastAsia="Noto Sans CJK JP" w:cs="Noto Sans CJK JP"/>
        </w:rPr>
        <w:t xml:space="preserve">, an increase of </w:t>
      </w:r>
      <w:r>
        <w:rPr>
          <w:b/>
          <w:rFonts w:ascii="Noto Sans CJK JP" w:hAnsi="Noto Sans CJK JP" w:eastAsia="Noto Sans CJK JP" w:cs="Noto Sans CJK JP"/>
        </w:rPr>
        <w:t>23.29 percentage points</w:t>
      </w:r>
      <w:r>
        <w:rPr>
          <w:b w:val="0"/>
          <w:sz w:val="20"/>
          <w:rFonts w:ascii="Noto Sans CJK JP" w:hAnsi="Noto Sans CJK JP" w:eastAsia="Noto Sans CJK JP" w:cs="Noto Sans CJK JP"/>
        </w:rPr>
        <w:t xml:space="preserve">, for the matched conditions. The latest R11 targeted check passed </w:t>
      </w:r>
      <w:r>
        <w:rPr>
          <w:b/>
          <w:rFonts w:ascii="Noto Sans CJK JP" w:hAnsi="Noto Sans CJK JP" w:eastAsia="Noto Sans CJK JP" w:cs="Noto Sans CJK JP"/>
        </w:rPr>
        <w:t>all four conditions across two questions</w:t>
      </w:r>
      <w:r>
        <w:rPr>
          <w:b w:val="0"/>
          <w:sz w:val="20"/>
          <w:rFonts w:ascii="Noto Sans CJK JP" w:hAnsi="Noto Sans CJK JP" w:eastAsia="Noto Sans CJK JP" w:cs="Noto Sans CJK JP"/>
        </w:rPr>
        <w:t>, covering existing measure filters and their explanations; both captures completed without internal errors. The workshop incorporates the reusable instructions and procedure supported by those observations. These results do not guarantee future answers or establish acceptance of every feature.</w:t>
      </w:r>
    </w:p>
    <w:p>
      <w:pPr>
        <w:pStyle w:val="Heading2"/>
        <w:keepNext/>
        <w:spacing w:before="220" w:after="120"/>
      </w:pPr>
      <w:r>
        <w:rPr>
          <w:rFonts w:ascii="Noto Sans CJK JP" w:hAnsi="Noto Sans CJK JP" w:eastAsia="Noto Sans CJK JP" w:cs="Noto Sans CJK JP"/>
        </w:rPr>
        <w:t>利用する資料 / Workshop materials</w:t>
      </w:r>
    </w:p>
    <w:p>
      <w:pPr>
        <w:spacing w:after="140"/>
      </w:pPr>
      <w:r>
        <w:rPr>
          <w:b w:val="0"/>
          <w:sz w:val="20"/>
          <w:rFonts w:ascii="Noto Sans CJK JP" w:hAnsi="Noto Sans CJK JP" w:eastAsia="Noto Sans CJK JP" w:cs="Noto Sans CJK JP"/>
        </w:rPr>
        <w:t xml:space="preserve">- </w:t>
      </w:r>
      <w:hyperlink r:id="rId1">
        <w:r>
          <w:rPr>
            <w:rStyle w:val="Hyperlink"/>
            <w:rFonts w:ascii="Noto Sans CJK JP" w:hAnsi="Noto Sans CJK JP" w:eastAsia="Noto Sans CJK JP" w:cs="Noto Sans CJK JP"/>
          </w:rPr>
          <w:t>現行参加者資料 / Current participant materials</w:t>
        </w:r>
      </w:hyperlink>
    </w:p>
    <w:p>
      <w:pPr>
        <w:spacing w:after="140"/>
      </w:pPr>
      <w:r>
        <w:rPr>
          <w:b w:val="0"/>
          <w:sz w:val="20"/>
          <w:rFonts w:ascii="Noto Sans CJK JP" w:hAnsi="Noto Sans CJK JP" w:eastAsia="Noto Sans CJK JP" w:cs="Noto Sans CJK JP"/>
        </w:rPr>
        <w:t xml:space="preserve">- </w:t>
      </w:r>
      <w:hyperlink r:id="rId2">
        <w:r>
          <w:rPr>
            <w:rStyle w:val="Hyperlink"/>
            <w:rFonts w:ascii="Noto Sans CJK JP" w:hAnsi="Noto Sans CJK JP" w:eastAsia="Noto Sans CJK JP" w:cs="Noto Sans CJK JP"/>
          </w:rPr>
          <w:t>実測を反映した portable profile / Portable measured-contract profile</w:t>
        </w:r>
      </w:hyperlink>
    </w:p>
    <w:p>
      <w:pPr>
        <w:spacing w:after="140"/>
      </w:pPr>
      <w:r>
        <w:rPr>
          <w:b w:val="0"/>
          <w:sz w:val="20"/>
          <w:rFonts w:ascii="Noto Sans CJK JP" w:hAnsi="Noto Sans CJK JP" w:eastAsia="Noto Sans CJK JP" w:cs="Noto Sans CJK JP"/>
        </w:rPr>
        <w:t xml:space="preserve">- </w:t>
      </w:r>
      <w:hyperlink r:id="rId3">
        <w:r>
          <w:rPr>
            <w:rStyle w:val="Hyperlink"/>
            <w:rFonts w:ascii="Noto Sans CJK JP" w:hAnsi="Noto Sans CJK JP" w:eastAsia="Noto Sans CJK JP" w:cs="Noto Sans CJK JP"/>
          </w:rPr>
          <w:t>精度の校正と資料の校正手順 / Calibration and proofreading procedure</w:t>
        </w:r>
      </w:hyperlink>
    </w:p>
    <w:p>
      <w:pPr>
        <w:spacing w:after="140"/>
      </w:pPr>
      <w:r>
        <w:rPr>
          <w:b w:val="0"/>
          <w:sz w:val="20"/>
          <w:rFonts w:ascii="Noto Sans CJK JP" w:hAnsi="Noto Sans CJK JP" w:eastAsia="Noto Sans CJK JP" w:cs="Noto Sans CJK JP"/>
        </w:rPr>
        <w:t xml:space="preserve">- </w:t>
      </w:r>
      <w:hyperlink r:id="rId4">
        <w:r>
          <w:rPr>
            <w:rStyle w:val="Hyperlink"/>
            <w:rFonts w:ascii="Noto Sans CJK JP" w:hAnsi="Noto Sans CJK JP" w:eastAsia="Noto Sans CJK JP" w:cs="Noto Sans CJK JP"/>
          </w:rPr>
          <w:t>公開用の集計と証跡ハッシュ / Public aggregates and evidence hashes</w:t>
        </w:r>
      </w:hyperlink>
    </w:p>
    <w:p>
      <w:pPr>
        <w:spacing w:after="140"/>
      </w:pPr>
      <w:r>
        <w:rPr>
          <w:b w:val="0"/>
          <w:sz w:val="20"/>
          <w:rFonts w:ascii="Noto Sans CJK JP" w:hAnsi="Noto Sans CJK JP" w:eastAsia="Noto Sans CJK JP" w:cs="Noto Sans CJK JP"/>
        </w:rPr>
        <w:t xml:space="preserve">- </w:t>
      </w:r>
      <w:hyperlink r:id="rId5">
        <w:r>
          <w:rPr>
            <w:rStyle w:val="Hyperlink"/>
            <w:rFonts w:ascii="Noto Sans CJK JP" w:hAnsi="Noto Sans CJK JP" w:eastAsia="Noto Sans CJK JP" w:cs="Noto Sans CJK JP"/>
          </w:rPr>
          <w:t>実測要約・校正手順 Word / Summary and procedure in Word</w:t>
        </w:r>
      </w:hyperlink>
    </w:p>
    <w:p>
      <w:pPr>
        <w:spacing w:after="140"/>
      </w:pPr>
      <w:r>
        <w:rPr>
          <w:b w:val="0"/>
          <w:sz w:val="20"/>
          <w:rFonts w:ascii="Noto Sans CJK JP" w:hAnsi="Noto Sans CJK JP" w:eastAsia="Noto Sans CJK JP" w:cs="Noto Sans CJK JP"/>
        </w:rPr>
        <w:t xml:space="preserve">- </w:t>
      </w:r>
      <w:hyperlink r:id="rId6">
        <w:r>
          <w:rPr>
            <w:rStyle w:val="Hyperlink"/>
            <w:rFonts w:ascii="Noto Sans CJK JP" w:hAnsi="Noto Sans CJK JP" w:eastAsia="Noto Sans CJK JP" w:cs="Noto Sans CJK JP"/>
          </w:rPr>
          <w:t>実測要約・校正手順 日英HTML / Bilingual summary and procedure in HTML</w:t>
        </w:r>
      </w:hyperlink>
    </w:p>
    <w:p>
      <w:pPr>
        <w:spacing w:after="140"/>
      </w:pPr>
      <w:r>
        <w:rPr>
          <w:b w:val="0"/>
          <w:sz w:val="20"/>
          <w:rFonts w:ascii="Noto Sans CJK JP" w:hAnsi="Noto Sans CJK JP" w:eastAsia="Noto Sans CJK JP" w:cs="Noto Sans CJK JP"/>
        </w:rPr>
        <w:t>公開用 JSON は集計と不変の証跡ハッシュだけを収録します。ケース本文、期待解答、実回答、native trace、認証情報、対象 Workspace のIDは含めません。ハッシュは私有証跡の照合用であり、その証跡が公開されていることを意味しません。</w:t>
      </w:r>
    </w:p>
    <w:p>
      <w:pPr>
        <w:spacing w:after="140"/>
      </w:pPr>
      <w:r>
        <w:rPr>
          <w:b w:val="0"/>
          <w:sz w:val="20"/>
          <w:rFonts w:ascii="Noto Sans CJK JP" w:hAnsi="Noto Sans CJK JP" w:eastAsia="Noto Sans CJK JP" w:cs="Noto Sans CJK JP"/>
        </w:rPr>
        <w:t>The public JSON contains aggregates and immutable evidence hashes. It omits case text, expected answers, actual answers, native traces, authentication information and deployment Workspace IDs. Hashes support authorized reconciliation with retained private evidence; they do not make that evidence publicly available.</w:t>
      </w:r>
    </w:p>
    <w:p>
      <w:pPr>
        <w:pStyle w:val="Heading2"/>
        <w:keepNext/>
        <w:pageBreakBefore/>
        <w:spacing w:before="220" w:after="120"/>
      </w:pPr>
      <w:r>
        <w:rPr>
          <w:rFonts w:ascii="Noto Sans CJK JP" w:hAnsi="Noto Sans CJK JP" w:eastAsia="Noto Sans CJK JP" w:cs="Noto Sans CJK JP"/>
        </w:rPr>
        <w:t>測定結果 / Measured results</w:t>
      </w:r>
    </w:p>
    <w:p>
      <w:pPr>
        <w:spacing w:after="140"/>
      </w:pPr>
      <w:r>
        <w:rPr>
          <w:b w:val="0"/>
          <w:sz w:val="20"/>
          <w:rFonts w:ascii="Noto Sans CJK JP" w:hAnsi="Noto Sans CJK JP" w:eastAsia="Noto Sans CJK JP" w:cs="Noto Sans CJK JP"/>
        </w:rPr>
        <w:t xml:space="preserve">すべて、固定条件と実回答・ソース結果を照合した </w:t>
      </w:r>
      <w:r>
        <w:rPr>
          <w:b/>
          <w:rFonts w:ascii="Noto Sans CJK JP" w:hAnsi="Noto Sans CJK JP" w:eastAsia="Noto Sans CJK JP" w:cs="Noto Sans CJK JP"/>
        </w:rPr>
        <w:t>Codex による補足内容判定</w:t>
      </w:r>
      <w:r>
        <w:rPr>
          <w:b w:val="0"/>
          <w:sz w:val="20"/>
          <w:rFonts w:ascii="Noto Sans CJK JP" w:hAnsi="Noto Sans CJK JP" w:eastAsia="Noto Sans CJK JP" w:cs="Noto Sans CJK JP"/>
        </w:rPr>
        <w:t>です。独立した人間の sign-off はありません。native 実行の厳格な判定は別に保持しています。</w:t>
      </w:r>
    </w:p>
    <w:p>
      <w:pPr>
        <w:spacing w:after="140"/>
      </w:pPr>
      <w:r>
        <w:rPr>
          <w:b w:val="0"/>
          <w:sz w:val="20"/>
          <w:rFonts w:ascii="Noto Sans CJK JP" w:hAnsi="Noto Sans CJK JP" w:eastAsia="Noto Sans CJK JP" w:cs="Noto Sans CJK JP"/>
        </w:rPr>
        <w:t xml:space="preserve">All rows are </w:t>
      </w:r>
      <w:r>
        <w:rPr>
          <w:b/>
          <w:rFonts w:ascii="Noto Sans CJK JP" w:hAnsi="Noto Sans CJK JP" w:eastAsia="Noto Sans CJK JP" w:cs="Noto Sans CJK JP"/>
        </w:rPr>
        <w:t>supplemental content judgments by Codex</w:t>
      </w:r>
      <w:r>
        <w:rPr>
          <w:b w:val="0"/>
          <w:sz w:val="20"/>
          <w:rFonts w:ascii="Noto Sans CJK JP" w:hAnsi="Noto Sans CJK JP" w:eastAsia="Noto Sans CJK JP" w:cs="Noto Sans CJK JP"/>
        </w:rPr>
        <w:t xml:space="preserve"> against fixed conditions, actual answers and source results. There is no independent human sign-off. Strict native-execution judgments remain separate.</w:t>
      </w:r>
    </w:p>
    <w:tbl>
      <w:tblPr>
        <w:tblStyle w:val="TableGrid"/>
        <w:tblW w:type="auto" w:w="0"/>
        <w:jc w:val="center"/>
        <w:tblLayout w:type="fixed"/>
        <w:tblLook w:firstColumn="1" w:firstRow="1" w:lastColumn="0" w:lastRow="0" w:noHBand="0" w:noVBand="1" w:val="04A0"/>
        <w:tblCaption w:val="表 1"/>
        <w:tblDescription w:val="測定・手順 / Measurements and procedure"/>
      </w:tblPr>
      <w:tblGrid>
        <w:gridCol w:w="2409"/>
        <w:gridCol w:w="2409"/>
        <w:gridCol w:w="2409"/>
        <w:gridCol w:w="2409"/>
      </w:tblGrid>
      <w:tr>
        <w:trPr>
          <w:tblHeader w:val="true"/>
          <w:cantSplit w:val="true"/>
        </w:trPr>
        <w:tc>
          <w:tcPr>
            <w:tcW w:type="dxa" w:w="2711"/>
            <w:shd w:val="clear" w:color="auto" w:fill="174C88"/>
          </w:tcPr>
          <w:p>
            <w:pPr>
              <w:spacing w:after="20" w:before="20"/>
            </w:pPr>
            <w:r>
              <w:rPr>
                <w:rFonts w:ascii="Noto Sans CJK JP" w:hAnsi="Noto Sans CJK JP" w:eastAsia="Noto Sans CJK JP" w:cs="Noto Sans CJK JP"/>
              </w:rPr>
            </w:r>
            <w:r>
              <w:rPr>
                <w:b/>
                <w:color w:val="FFFFFF"/>
                <w:sz w:val="17"/>
                <w:rFonts w:ascii="Noto Sans CJK JP" w:hAnsi="Noto Sans CJK JP" w:eastAsia="Noto Sans CJK JP" w:cs="Noto Sans CJK JP"/>
              </w:rPr>
              <w:t>対象 / Scope</w:t>
            </w:r>
          </w:p>
        </w:tc>
        <w:tc>
          <w:tcPr>
            <w:tcW w:type="dxa" w:w="1807"/>
            <w:shd w:val="clear" w:color="auto" w:fill="174C88"/>
          </w:tcPr>
          <w:p>
            <w:pPr>
              <w:spacing w:after="20" w:before="20"/>
            </w:pPr>
            <w:r>
              <w:rPr>
                <w:rFonts w:ascii="Noto Sans CJK JP" w:hAnsi="Noto Sans CJK JP" w:eastAsia="Noto Sans CJK JP" w:cs="Noto Sans CJK JP"/>
              </w:rPr>
            </w:r>
            <w:r>
              <w:rPr>
                <w:b/>
                <w:color w:val="FFFFFF"/>
                <w:sz w:val="17"/>
                <w:rFonts w:ascii="Noto Sans CJK JP" w:hAnsi="Noto Sans CJK JP" w:eastAsia="Noto Sans CJK JP" w:cs="Noto Sans CJK JP"/>
              </w:rPr>
              <w:t>改善前 / Baseline</w:t>
            </w:r>
          </w:p>
        </w:tc>
        <w:tc>
          <w:tcPr>
            <w:tcW w:type="dxa" w:w="2108"/>
            <w:shd w:val="clear" w:color="auto" w:fill="174C88"/>
          </w:tcPr>
          <w:p>
            <w:pPr>
              <w:spacing w:after="20" w:before="20"/>
            </w:pPr>
            <w:r>
              <w:rPr>
                <w:rFonts w:ascii="Noto Sans CJK JP" w:hAnsi="Noto Sans CJK JP" w:eastAsia="Noto Sans CJK JP" w:cs="Noto Sans CJK JP"/>
              </w:rPr>
            </w:r>
            <w:r>
              <w:rPr>
                <w:b/>
                <w:color w:val="FFFFFF"/>
                <w:sz w:val="17"/>
                <w:rFonts w:ascii="Noto Sans CJK JP" w:hAnsi="Noto Sans CJK JP" w:eastAsia="Noto Sans CJK JP" w:cs="Noto Sans CJK JP"/>
              </w:rPr>
              <w:t>実測した改善版 / Measured revision</w:t>
            </w:r>
          </w:p>
        </w:tc>
        <w:tc>
          <w:tcPr>
            <w:tcW w:type="dxa" w:w="3012"/>
            <w:shd w:val="clear" w:color="auto" w:fill="174C88"/>
          </w:tcPr>
          <w:p>
            <w:pPr>
              <w:spacing w:after="20" w:before="20"/>
            </w:pPr>
            <w:r>
              <w:rPr>
                <w:rFonts w:ascii="Noto Sans CJK JP" w:hAnsi="Noto Sans CJK JP" w:eastAsia="Noto Sans CJK JP" w:cs="Noto Sans CJK JP"/>
              </w:rPr>
            </w:r>
            <w:r>
              <w:rPr>
                <w:b/>
                <w:color w:val="FFFFFF"/>
                <w:sz w:val="17"/>
                <w:rFonts w:ascii="Noto Sans CJK JP" w:hAnsi="Noto Sans CJK JP" w:eastAsia="Noto Sans CJK JP" w:cs="Noto Sans CJK JP"/>
              </w:rPr>
              <w:t>読み方 / Interpretation</w:t>
            </w:r>
          </w:p>
        </w:tc>
      </w:tr>
      <w:tr>
        <w:trPr>
          <w:cantSplit w:val="true"/>
        </w:trPr>
        <w:tc>
          <w:tcPr>
            <w:tcW w:type="dxa" w:w="2711"/>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元10問を3回、各フェーズの適用条件 / Original ten questions, three repetitions, phase-specific applicable conditions</w:t>
            </w:r>
          </w:p>
        </w:tc>
        <w:tc>
          <w:tcPr>
            <w:tcW w:type="dxa" w:w="1807"/>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125/243 (51.44%), NA 9</w:t>
            </w:r>
          </w:p>
        </w:tc>
        <w:tc>
          <w:tcPr>
            <w:tcW w:type="dxa" w:w="2108"/>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R8: 192/252 (76.19%), FAIL 60</w:t>
            </w:r>
          </w:p>
        </w:tc>
        <w:tc>
          <w:tcPr>
            <w:tcW w:type="dxa" w:w="3012"/>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分母が異なる / Different denominators</w:t>
            </w:r>
          </w:p>
        </w:tc>
      </w:tr>
      <w:tr>
        <w:trPr>
          <w:cantSplit w:val="true"/>
        </w:trPr>
        <w:tc>
          <w:tcPr>
            <w:tcW w:type="dxa" w:w="2711"/>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共通219条件 / Matched 219 conditions</w:t>
            </w:r>
          </w:p>
        </w:tc>
        <w:tc>
          <w:tcPr>
            <w:tcW w:type="dxa" w:w="1807"/>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111/219 (50.68%), FAIL 108</w:t>
            </w:r>
          </w:p>
        </w:tc>
        <w:tc>
          <w:tcPr>
            <w:tcW w:type="dxa" w:w="2108"/>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R8: 162/219 (73.97%), FAIL 57</w:t>
            </w:r>
          </w:p>
        </w:tc>
        <w:tc>
          <w:tcPr>
            <w:tcW w:type="dxa" w:w="3012"/>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+23.29ポイント / +23.29 percentage points</w:t>
            </w:r>
          </w:p>
        </w:tc>
      </w:tr>
      <w:tr>
        <w:trPr>
          <w:cantSplit w:val="true"/>
        </w:trPr>
        <w:tc>
          <w:tcPr>
            <w:tcW w:type="dxa" w:w="2711"/>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回帰19問38条件 / Regression: 19 questions, 38 conditions</w:t>
            </w:r>
          </w:p>
        </w:tc>
        <w:tc>
          <w:tcPr>
            <w:tcW w:type="dxa" w:w="1807"/>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PASS 17 / FAIL 18 / UNCLEAR 3</w:t>
            </w:r>
          </w:p>
        </w:tc>
        <w:tc>
          <w:tcPr>
            <w:tcW w:type="dxa" w:w="2108"/>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R8: PASS 30 / FAIL 7 / UNCLEAR 1</w:t>
            </w:r>
          </w:p>
        </w:tc>
        <w:tc>
          <w:tcPr>
            <w:tcW w:type="dxa" w:w="3012"/>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UNCLEARも分母に残す。44.74% → 78.95% / Keep UNCLEAR in the denominator</w:t>
            </w:r>
          </w:p>
        </w:tc>
      </w:tr>
      <w:tr>
        <w:trPr>
          <w:cantSplit w:val="true"/>
        </w:trPr>
        <w:tc>
          <w:tcPr>
            <w:tcW w:type="dxa" w:w="2711"/>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SQLの限定検証 / Targeted SQL check</w:t>
            </w:r>
          </w:p>
        </w:tc>
        <w:tc>
          <w:tcPr>
            <w:tcW w:type="dxa" w:w="1807"/>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別フェーズ / Separate phase</w:t>
            </w:r>
          </w:p>
        </w:tc>
        <w:tc>
          <w:tcPr>
            <w:tcW w:type="dxa" w:w="2108"/>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R9: 19/19; 4 questions</w:t>
            </w:r>
          </w:p>
        </w:tc>
        <w:tc>
          <w:tcPr>
            <w:tcW w:type="dxa" w:w="3012"/>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1 capture は証拠不完全 / One capture retained as evidence-incomplete</w:t>
            </w:r>
          </w:p>
        </w:tc>
      </w:tr>
      <w:tr>
        <w:trPr>
          <w:cantSplit w:val="true"/>
        </w:trPr>
        <w:tc>
          <w:tcPr>
            <w:tcW w:type="dxa" w:w="2711"/>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時刻とフィルター説明 / Targeted time and filter-explanation check</w:t>
            </w:r>
          </w:p>
        </w:tc>
        <w:tc>
          <w:tcPr>
            <w:tcW w:type="dxa" w:w="1807"/>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別フェーズ / Separate phase</w:t>
            </w:r>
          </w:p>
        </w:tc>
        <w:tc>
          <w:tcPr>
            <w:tcW w:type="dxa" w:w="2108"/>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R10: 4/6; 3 questions</w:t>
            </w:r>
          </w:p>
        </w:tc>
        <w:tc>
          <w:tcPr>
            <w:tcW w:type="dxa" w:w="3012"/>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FAIL 2、証拠不完全1件を保持 / Two FAIL conditions and one evidence-incomplete capture retained</w:t>
            </w:r>
          </w:p>
        </w:tc>
      </w:tr>
      <w:tr>
        <w:trPr>
          <w:cantSplit w:val="true"/>
        </w:trPr>
        <w:tc>
          <w:tcPr>
            <w:tcW w:type="dxa" w:w="2711"/>
            <w:shd w:val="clear" w:color="auto" w:fill="EEF3F9"/>
          </w:tcPr>
          <w:p>
            <w:pPr>
              <w:keepNext/>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実在メジャーの内部フィルター説明 / Existing measure filter explanation</w:t>
            </w:r>
          </w:p>
        </w:tc>
        <w:tc>
          <w:tcPr>
            <w:tcW w:type="dxa" w:w="1807"/>
            <w:shd w:val="clear" w:color="auto" w:fill="EEF3F9"/>
          </w:tcPr>
          <w:p>
            <w:pPr>
              <w:keepNext/>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別フェーズ / Separate phase</w:t>
            </w:r>
          </w:p>
        </w:tc>
        <w:tc>
          <w:tcPr>
            <w:tcW w:type="dxa" w:w="2108"/>
            <w:shd w:val="clear" w:color="auto" w:fill="EEF3F9"/>
          </w:tcPr>
          <w:p>
            <w:pPr>
              <w:keepNext/>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R11: 4/4; 2 questions</w:t>
            </w:r>
          </w:p>
        </w:tc>
        <w:tc>
          <w:tcPr>
            <w:tcW w:type="dxa" w:w="3012"/>
            <w:shd w:val="clear" w:color="auto" w:fill="EEF3F9"/>
          </w:tcPr>
          <w:p>
            <w:pPr>
              <w:keepNext/>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2 captures completed、内部エラーなし / Both captures completed without internal errors</w:t>
            </w:r>
          </w:p>
        </w:tc>
      </w:tr>
    </w:tbl>
    <w:p>
      <w:pPr>
        <w:pStyle w:val="Caption"/>
        <w:spacing w:before="40" w:after="200"/>
        <w:jc w:val="left"/>
      </w:pPr>
      <w:r>
        <w:rPr>
          <w:sz w:val="17"/>
          <w:rFonts w:ascii="Noto Sans CJK JP" w:hAnsi="Noto Sans CJK JP" w:eastAsia="Noto Sans CJK JP" w:cs="Noto Sans CJK JP"/>
        </w:rPr>
        <w:t>表 1　測定・手順 / Measurements and procedure</w:t>
      </w:r>
    </w:p>
    <w:p>
      <w:pPr>
        <w:spacing w:after="140"/>
      </w:pPr>
      <w:r>
        <w:rPr>
          <w:b w:val="0"/>
          <w:sz w:val="20"/>
          <w:rFonts w:ascii="Noto Sans CJK JP" w:hAnsi="Noto Sans CJK JP" w:eastAsia="Noto Sans CJK JP" w:cs="Noto Sans CJK JP"/>
        </w:rPr>
        <w:t>共通条件の比較では、確認質問分岐により改善前で NA だった9条件と、承認済みソースの利用可能性が変わった24条件を、両フェーズから同じように除きました。元の252条件の判定は変更していません。採点前提が変わった条件を、正答率の改善として数えていません。</w:t>
      </w:r>
    </w:p>
    <w:p>
      <w:pPr>
        <w:spacing w:after="140"/>
      </w:pPr>
      <w:r>
        <w:rPr>
          <w:b w:val="0"/>
          <w:sz w:val="20"/>
          <w:rFonts w:ascii="Noto Sans CJK JP" w:hAnsi="Noto Sans CJK JP" w:eastAsia="Noto Sans CJK JP" w:cs="Noto Sans CJK JP"/>
        </w:rPr>
        <w:t>The matched comparison excludes the same nine baseline clarification-branch NA conditions and 24 conditions whose approved-source availability premise changed, from both phases. The original 252 judgments remain unchanged. A changed scoring premise is not counted as an accuracy improvement.</w:t>
      </w:r>
    </w:p>
    <w:p>
      <w:pPr>
        <w:spacing w:after="140"/>
      </w:pPr>
      <w:r>
        <w:rPr>
          <w:b w:val="0"/>
          <w:sz w:val="20"/>
          <w:rFonts w:ascii="Noto Sans CJK JP" w:hAnsi="Noto Sans CJK JP" w:eastAsia="Noto Sans CJK JP" w:cs="Noto Sans CJK JP"/>
        </w:rPr>
        <w:t>改善前の取得条件は、初期の HTTP 120秒／capture 600秒と、未着手枠の HTTP 300秒／capture 900秒が混在します。R8 は300秒／900秒です。業務データは同じですが、内容の改善と取得可能性の改善を分離した因果効果とは断定できません。異なる未使用問題群の結果は別群の測定であり、対応のある改善率として扱いません。</w:t>
      </w:r>
    </w:p>
    <w:p>
      <w:pPr>
        <w:spacing w:after="140"/>
      </w:pPr>
      <w:r>
        <w:rPr>
          <w:b w:val="0"/>
          <w:sz w:val="20"/>
          <w:rFonts w:ascii="Noto Sans CJK JP" w:hAnsi="Noto Sans CJK JP" w:eastAsia="Noto Sans CJK JP" w:cs="Noto Sans CJK JP"/>
        </w:rPr>
        <w:t>Baseline collection mixed HTTP 120-second / capture 600-second settings with HTTP 300-second / capture 900-second settings for previously unstarted slots. R8 used 300/900 seconds. Business data was unchanged, but content improvement cannot be causally isolated from collection availability. Results for disjoint previously unused question sets are separate measurements, not a paired improvement estimate.</w:t>
      </w:r>
    </w:p>
    <w:p>
      <w:pPr>
        <w:spacing w:after="140"/>
      </w:pPr>
      <w:r>
        <w:rPr>
          <w:b w:val="0"/>
          <w:sz w:val="20"/>
          <w:rFonts w:ascii="Noto Sans CJK JP" w:hAnsi="Noto Sans CJK JP" w:eastAsia="Noto Sans CJK JP" w:cs="Noto Sans CJK JP"/>
        </w:rPr>
        <w:t>R8 は登録51枠について51 POSTと51 terminal Responseを保存し、native失敗や証拠不完全を持つ19枠を保持しています。Response が completed でも内部クエリの成功を意味しません。R9・R10・R11 はそれぞれ別の限定検証です。</w:t>
      </w:r>
      <w:r>
        <w:rPr>
          <w:b/>
          <w:rFonts w:ascii="Noto Sans CJK JP" w:hAnsi="Noto Sans CJK JP" w:eastAsia="Noto Sans CJK JP" w:cs="Noto Sans CJK JP"/>
        </w:rPr>
        <w:t>最新 R11 で全51枠を再評価していません</w:t>
      </w:r>
      <w:r>
        <w:rPr>
          <w:b w:val="0"/>
          <w:sz w:val="20"/>
          <w:rFonts w:ascii="Noto Sans CJK JP" w:hAnsi="Noto Sans CJK JP" w:eastAsia="Noto Sans CJK JP" w:cs="Noto Sans CJK JP"/>
        </w:rPr>
        <w:t>。R8 の全体スコアを R11 の全体スコアと読み替えません。</w:t>
      </w:r>
    </w:p>
    <w:p>
      <w:pPr>
        <w:spacing w:after="140"/>
      </w:pPr>
      <w:r>
        <w:rPr>
          <w:b w:val="0"/>
          <w:sz w:val="20"/>
          <w:rFonts w:ascii="Noto Sans CJK JP" w:hAnsi="Noto Sans CJK JP" w:eastAsia="Noto Sans CJK JP" w:cs="Noto Sans CJK JP"/>
        </w:rPr>
        <w:t xml:space="preserve">R8 retained 51 POSTs and 51 terminal Responses for its 51 registered slots, including 19 slots with native failures or incomplete evidence. A completed Response does not establish successful internal queries. R9, R10 and R11 are separate targeted checks. </w:t>
      </w:r>
      <w:r>
        <w:rPr>
          <w:b/>
          <w:rFonts w:ascii="Noto Sans CJK JP" w:hAnsi="Noto Sans CJK JP" w:eastAsia="Noto Sans CJK JP" w:cs="Noto Sans CJK JP"/>
        </w:rPr>
        <w:t>The latest R11 has not been retested across all 51 slots.</w:t>
      </w:r>
      <w:r>
        <w:rPr>
          <w:b w:val="0"/>
          <w:sz w:val="20"/>
          <w:rFonts w:ascii="Noto Sans CJK JP" w:hAnsi="Noto Sans CJK JP" w:eastAsia="Noto Sans CJK JP" w:cs="Noto Sans CJK JP"/>
        </w:rPr>
        <w:t xml:space="preserve"> R8's overall scores are not R11 overall scores.</w:t>
      </w:r>
    </w:p>
    <w:p>
      <w:pPr>
        <w:pStyle w:val="Heading2"/>
        <w:keepNext/>
        <w:spacing w:before="220" w:after="120"/>
      </w:pPr>
      <w:r>
        <w:rPr>
          <w:rFonts w:ascii="Noto Sans CJK JP" w:hAnsi="Noto Sans CJK JP" w:eastAsia="Noto Sans CJK JP" w:cs="Noto Sans CJK JP"/>
        </w:rPr>
        <w:t>再利用する対策 / Reusable changes</w:t>
      </w:r>
    </w:p>
    <w:tbl>
      <w:tblPr>
        <w:tblStyle w:val="TableGrid"/>
        <w:tblW w:type="auto" w:w="0"/>
        <w:jc w:val="center"/>
        <w:tblLayout w:type="fixed"/>
        <w:tblLook w:firstColumn="1" w:firstRow="1" w:lastColumn="0" w:lastRow="0" w:noHBand="0" w:noVBand="1" w:val="04A0"/>
        <w:tblCaption w:val="表 2"/>
        <w:tblDescription w:val="測定・手順 / Measurements and procedure"/>
      </w:tblPr>
      <w:tblGrid>
        <w:gridCol w:w="4819"/>
        <w:gridCol w:w="4819"/>
      </w:tblGrid>
      <w:tr>
        <w:trPr>
          <w:tblHeader w:val="true"/>
          <w:cantSplit w:val="true"/>
        </w:trPr>
        <w:tc>
          <w:tcPr>
            <w:tcW w:type="dxa" w:w="2711"/>
            <w:shd w:val="clear" w:color="auto" w:fill="174C88"/>
          </w:tcPr>
          <w:p>
            <w:pPr>
              <w:spacing w:after="20" w:before="20"/>
            </w:pPr>
            <w:r>
              <w:rPr>
                <w:rFonts w:ascii="Noto Sans CJK JP" w:hAnsi="Noto Sans CJK JP" w:eastAsia="Noto Sans CJK JP" w:cs="Noto Sans CJK JP"/>
              </w:rPr>
            </w:r>
            <w:r>
              <w:rPr>
                <w:b/>
                <w:color w:val="FFFFFF"/>
                <w:sz w:val="17"/>
                <w:rFonts w:ascii="Noto Sans CJK JP" w:hAnsi="Noto Sans CJK JP" w:eastAsia="Noto Sans CJK JP" w:cs="Noto Sans CJK JP"/>
              </w:rPr>
              <w:t>観測した問題 / Observed problem</w:t>
            </w:r>
          </w:p>
        </w:tc>
        <w:tc>
          <w:tcPr>
            <w:tcW w:type="dxa" w:w="6927"/>
            <w:shd w:val="clear" w:color="auto" w:fill="174C88"/>
          </w:tcPr>
          <w:p>
            <w:pPr>
              <w:spacing w:after="20" w:before="20"/>
            </w:pPr>
            <w:r>
              <w:rPr>
                <w:rFonts w:ascii="Noto Sans CJK JP" w:hAnsi="Noto Sans CJK JP" w:eastAsia="Noto Sans CJK JP" w:cs="Noto Sans CJK JP"/>
              </w:rPr>
            </w:r>
            <w:r>
              <w:rPr>
                <w:b/>
                <w:color w:val="FFFFFF"/>
                <w:sz w:val="17"/>
                <w:rFonts w:ascii="Noto Sans CJK JP" w:hAnsi="Noto Sans CJK JP" w:eastAsia="Noto Sans CJK JP" w:cs="Noto Sans CJK JP"/>
              </w:rPr>
              <w:t>Workshopで適用する対策 / Workshop change</w:t>
            </w:r>
          </w:p>
        </w:tc>
      </w:tr>
      <w:tr>
        <w:trPr>
          <w:cantSplit w:val="true"/>
        </w:trPr>
        <w:tc>
          <w:tcPr>
            <w:tcW w:type="dxa" w:w="2711"/>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ソース・粒度・データ期間の混同 / Mixed sources, grain and time periods</w:t>
            </w:r>
          </w:p>
        </w:tc>
        <w:tc>
          <w:tcPr>
            <w:tcW w:type="dxa" w:w="6927"/>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ソース契約、必要なビューと品質テーブルの選択、raw／accepted／Gold、静的ラベルと暦年の区別 / Source contracts, required views and quality-table selections, separate raw/accepted/Gold and static labels/calendar years</w:t>
            </w:r>
          </w:p>
        </w:tc>
      </w:tr>
      <w:tr>
        <w:trPr>
          <w:cantSplit w:val="true"/>
        </w:trPr>
        <w:tc>
          <w:tcPr>
            <w:tcW w:type="dxa" w:w="2711"/>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SQL識別子・名前検索・順位の絞り込み / SQL identifiers, name lookups and ranking scope</w:t>
            </w:r>
          </w:p>
        </w:tc>
        <w:tc>
          <w:tcPr>
            <w:tcW w:type="dxa" w:w="6927"/>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識別子・別名の引用、実在する名称dimension、集計と順位で同じ明細filter / Quote identifiers and aliases, use real name dimensions, apply identical fact filters to totals and rankings</w:t>
            </w:r>
          </w:p>
        </w:tc>
      </w:tr>
      <w:tr>
        <w:trPr>
          <w:cantSplit w:val="true"/>
        </w:trPr>
        <w:tc>
          <w:tcPr>
            <w:tcW w:type="dxa" w:w="2711"/>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12時間表記の転記・区間比較 / Twelve-hour time transcription and interval comparison</w:t>
            </w:r>
          </w:p>
        </w:tc>
        <w:tc>
          <w:tcPr>
            <w:tcW w:type="dxa" w:w="6927"/>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ソース結果のUTC ISOを使用し、AM/PMとUTC/JSTを明示、実UTC区間で比較 / Use source-returned UTC ISO values, make AM/PM and UTC/JST explicit, compare actual UTC intervals</w:t>
            </w:r>
          </w:p>
        </w:tc>
      </w:tr>
      <w:tr>
        <w:trPr>
          <w:cantSplit w:val="true"/>
        </w:trPr>
        <w:tc>
          <w:tcPr>
            <w:tcW w:type="dxa" w:w="2711"/>
            <w:shd w:val="clear" w:color="auto" w:fill="EEF3F9"/>
          </w:tcPr>
          <w:p>
            <w:pPr>
              <w:keepNext/>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BLANKの理由と内部KEEPFILTERSの説明不足 / Missing explanation of BLANK and internal KEEPFILTERS</w:t>
            </w:r>
          </w:p>
        </w:tc>
        <w:tc>
          <w:tcPr>
            <w:tcW w:type="dxa" w:w="6927"/>
            <w:shd w:val="clear" w:color="auto" w:fill="EEF3F9"/>
          </w:tcPr>
          <w:p>
            <w:pPr>
              <w:keepNext/>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選択済みソースの実在TMDL定義を引用し、内部KEEPFILTERSと外側filterの交差を説明 / Quote existing selected-source TMDL definitions and explain the intersection of internal KEEPFILTERS with outer filters</w:t>
            </w:r>
          </w:p>
        </w:tc>
      </w:tr>
    </w:tbl>
    <w:p>
      <w:pPr>
        <w:pStyle w:val="Caption"/>
        <w:spacing w:before="40" w:after="200"/>
        <w:jc w:val="left"/>
      </w:pPr>
      <w:r>
        <w:rPr>
          <w:sz w:val="17"/>
          <w:rFonts w:ascii="Noto Sans CJK JP" w:hAnsi="Noto Sans CJK JP" w:eastAsia="Noto Sans CJK JP" w:cs="Noto Sans CJK JP"/>
        </w:rPr>
        <w:t>表 2　測定・手順 / Measurements and procedure</w:t>
      </w:r>
    </w:p>
    <w:p>
      <w:pPr>
        <w:spacing w:after="140"/>
      </w:pPr>
      <w:r>
        <w:rPr>
          <w:b w:val="0"/>
          <w:sz w:val="20"/>
          <w:rFonts w:ascii="Noto Sans CJK JP" w:hAnsi="Noto Sans CJK JP" w:eastAsia="Noto Sans CJK JP" w:cs="Noto Sans CJK JP"/>
        </w:rPr>
        <w:t>指示には、実在するソース契約・スキーマ・メジャー定義を用います。テストの解答、未使用問題、特定の期待数値を埋め込みません。portable profile は導入先の native schema、SQL metadata、TMDL を確認して Draft を生成します。新しい導入先の公開・実回答の検証は</w:t>
      </w:r>
      <w:hyperlink r:id="rId3">
        <w:r>
          <w:rPr>
            <w:rStyle w:val="Hyperlink"/>
            <w:rFonts w:ascii="Noto Sans CJK JP" w:hAnsi="Noto Sans CJK JP" w:eastAsia="Noto Sans CJK JP" w:cs="Noto Sans CJK JP"/>
          </w:rPr>
          <w:t>校正手順</w:t>
        </w:r>
      </w:hyperlink>
      <w:r>
        <w:rPr>
          <w:b w:val="0"/>
          <w:sz w:val="20"/>
          <w:rFonts w:ascii="Noto Sans CJK JP" w:hAnsi="Noto Sans CJK JP" w:eastAsia="Noto Sans CJK JP" w:cs="Noto Sans CJK JP"/>
        </w:rPr>
        <w:t>で別途行います。</w:t>
      </w:r>
    </w:p>
    <w:p>
      <w:pPr>
        <w:spacing w:after="140"/>
      </w:pPr>
      <w:r>
        <w:rPr>
          <w:b w:val="0"/>
          <w:sz w:val="20"/>
          <w:rFonts w:ascii="Noto Sans CJK JP" w:hAnsi="Noto Sans CJK JP" w:eastAsia="Noto Sans CJK JP" w:cs="Noto Sans CJK JP"/>
        </w:rPr>
        <w:t xml:space="preserve">Instructions use actual source contracts, schemas and measure definitions. They do not embed test answers, unused questions or case-specific expected values. The portable profile verifies the destination native schema, SQL metadata and TMDL before compiling a Draft. Publication and actual-answer validation in a new destination follow the separate </w:t>
      </w:r>
      <w:hyperlink r:id="rId3">
        <w:r>
          <w:rPr>
            <w:rStyle w:val="Hyperlink"/>
            <w:rFonts w:ascii="Noto Sans CJK JP" w:hAnsi="Noto Sans CJK JP" w:eastAsia="Noto Sans CJK JP" w:cs="Noto Sans CJK JP"/>
          </w:rPr>
          <w:t>calibration procedure</w:t>
        </w:r>
      </w:hyperlink>
      <w:r>
        <w:rPr>
          <w:b w:val="0"/>
          <w:sz w:val="20"/>
          <w:rFonts w:ascii="Noto Sans CJK JP" w:hAnsi="Noto Sans CJK JP" w:eastAsia="Noto Sans CJK JP" w:cs="Noto Sans CJK JP"/>
        </w:rPr>
        <w:t>.</w:t>
      </w:r>
    </w:p>
    <w:p>
      <w:pPr>
        <w:pStyle w:val="Heading2"/>
        <w:keepNext/>
        <w:spacing w:before="220" w:after="120"/>
      </w:pPr>
      <w:r>
        <w:rPr>
          <w:rFonts w:ascii="Noto Sans CJK JP" w:hAnsi="Noto Sans CJK JP" w:eastAsia="Noto Sans CJK JP" w:cs="Noto Sans CJK JP"/>
        </w:rPr>
        <w:t>残る範囲 / Remaining limitations</w:t>
      </w:r>
    </w:p>
    <w:p>
      <w:pPr>
        <w:spacing w:after="140"/>
      </w:pPr>
      <w:r>
        <w:rPr>
          <w:b w:val="0"/>
          <w:sz w:val="20"/>
          <w:rFonts w:ascii="Noto Sans CJK JP" w:hAnsi="Noto Sans CJK JP" w:eastAsia="Noto Sans CJK JP" w:cs="Noto Sans CJK JP"/>
        </w:rPr>
        <w:t>- Gen2 Ontology の Data Agent consumer は API version unsupported を返す経路が残ります。直接 Graph/GQL の成功はこの経路の成功を代替しません。</w:t>
      </w:r>
    </w:p>
    <w:p>
      <w:pPr>
        <w:spacing w:after="140"/>
      </w:pPr>
      <w:r>
        <w:rPr>
          <w:b w:val="0"/>
          <w:sz w:val="20"/>
          <w:rFonts w:ascii="Noto Sans CJK JP" w:hAnsi="Noto Sans CJK JP" w:eastAsia="Noto Sans CJK JP" w:cs="Noto Sans CJK JP"/>
        </w:rPr>
        <w:t>- Semantic Model の金額列を表示・選択した後の試験でも、Data Agent の native DAX schema に金額列が出ず、金額条件の実行結果を取得できませんでした。R11 の限定検証には schema 取得がなく、この経路の解決確認はできていません。</w:t>
      </w:r>
    </w:p>
    <w:p>
      <w:pPr>
        <w:spacing w:after="140"/>
      </w:pPr>
      <w:r>
        <w:rPr>
          <w:b w:val="0"/>
          <w:sz w:val="20"/>
          <w:rFonts w:ascii="Noto Sans CJK JP" w:hAnsi="Noto Sans CJK JP" w:eastAsia="Noto Sans CJK JP" w:cs="Noto Sans CJK JP"/>
        </w:rPr>
        <w:t>- native Ontology Time Series／Metrics、Manage graph UI の projection、Report のブラウザ描画、Activator の自動配信は未検証または未設定です。</w:t>
      </w:r>
    </w:p>
    <w:p>
      <w:pPr>
        <w:spacing w:after="140"/>
      </w:pPr>
      <w:r>
        <w:rPr>
          <w:b w:val="0"/>
          <w:sz w:val="20"/>
          <w:rFonts w:ascii="Noto Sans CJK JP" w:hAnsi="Noto Sans CJK JP" w:eastAsia="Noto Sans CJK JP" w:cs="Noto Sans CJK JP"/>
        </w:rPr>
        <w:t>- サービスの content block と必要なデータ制限の説明不足は、元の失敗として保持しています。</w:t>
      </w:r>
    </w:p>
    <w:p>
      <w:pPr>
        <w:spacing w:after="140"/>
      </w:pPr>
      <w:r>
        <w:rPr>
          <w:b w:val="0"/>
          <w:sz w:val="20"/>
          <w:rFonts w:ascii="Noto Sans CJK JP" w:hAnsi="Noto Sans CJK JP" w:eastAsia="Noto Sans CJK JP" w:cs="Noto Sans CJK JP"/>
        </w:rPr>
        <w:t>The Data Agent Gen2 Ontology consumer retains an unsupported-API-version route; direct Graph/GQL success does not validate it. Even after making the amount column visible and selected, the tested Agent route omitted that column from its native DAX schema and produced no executed amount-filtered result. R11 did not retrieve the schema, so resolution of that route is unconfirmed. Native Ontology Time Series/Metrics, Manage graph UI projection, Report browser rendering and Activator automatic delivery remain unverified or unconfigured. Service content blocks and missing data-limit explanations remain recorded failures.</w:t>
      </w:r>
    </w:p>
    <w:p>
      <w:pPr>
        <w:spacing w:after="140"/>
      </w:pPr>
      <w:r>
        <w:rPr>
          <w:b w:val="0"/>
          <w:sz w:val="20"/>
          <w:rFonts w:ascii="Noto Sans CJK JP" w:hAnsi="Noto Sans CJK JP" w:eastAsia="Noto Sans CJK JP" w:cs="Noto Sans CJK JP"/>
        </w:rPr>
        <w:t>元の版・評価・失敗記録は保持します。資料の整合性チェック成功、mainへのマージ、Draftの生成は、これらの未解決事項の合格判定を変更しません。</w:t>
      </w:r>
    </w:p>
    <w:p>
      <w:pPr>
        <w:spacing w:after="140"/>
      </w:pPr>
      <w:r>
        <w:rPr>
          <w:b w:val="0"/>
          <w:sz w:val="20"/>
          <w:rFonts w:ascii="Noto Sans CJK JP" w:hAnsi="Noto Sans CJK JP" w:eastAsia="Noto Sans CJK JP" w:cs="Noto Sans CJK JP"/>
        </w:rPr>
        <w:t>Previous editions, evaluations and failure records remain intact. Passing document-consistency checks, merging main or compiling a Draft does not change acceptance of these unresolved features.</w:t>
      </w:r>
    </w:p>
    <w:p>
      <w:pPr>
        <w:pStyle w:val="Heading2"/>
        <w:keepNext/>
        <w:spacing w:before="220" w:after="120"/>
      </w:pPr>
      <w:r>
        <w:rPr>
          <w:rFonts w:ascii="Noto Sans CJK JP" w:hAnsi="Noto Sans CJK JP" w:eastAsia="Noto Sans CJK JP" w:cs="Noto Sans CJK JP"/>
        </w:rPr>
        <w:t>別冊の再生成 / Rebuild this report</w:t>
      </w:r>
    </w:p>
    <w:p>
      <w:pPr>
        <w:spacing w:after="140"/>
      </w:pPr>
      <w:hyperlink r:id="rId7">
        <w:r>
          <w:rPr>
            <w:rStyle w:val="Hyperlink"/>
            <w:rFonts w:ascii="Noto Sans CJK JP" w:hAnsi="Noto Sans CJK JP" w:eastAsia="Noto Sans CJK JP" w:cs="Noto Sans CJK JP"/>
          </w:rPr>
          <w:t>専用builder</w:t>
        </w:r>
      </w:hyperlink>
      <w:r>
        <w:rPr>
          <w:b w:val="0"/>
          <w:sz w:val="20"/>
          <w:rFonts w:ascii="Noto Sans CJK JP" w:hAnsi="Noto Sans CJK JP" w:eastAsia="Noto Sans CJK JP" w:cs="Noto Sans CJK JP"/>
        </w:rPr>
        <w:t>は、このREADME、校正手順、公開集計JSONを単一の入力組合せとして検証し、別日付Word・HTMLと構造検証JSONを生成します。公開集計の再採点やクラウド操作は行いません。出力先には新しい私有stageを指定します。</w:t>
      </w:r>
      <w:r>
        <w:rPr>
          <w:rFonts w:ascii="Noto Sans Mono CJK JP" w:hAnsi="Noto Sans Mono CJK JP" w:eastAsia="Noto Sans Mono CJK JP" w:cs="Noto Sans Mono CJK JP"/>
          <w:b w:val="0"/>
          <w:sz w:val="18"/>
        </w:rPr>
        <w:t>PATH_TO_FRESH_PRIVATE_STAGE</w:t>
      </w:r>
      <w:r>
        <w:rPr>
          <w:b w:val="0"/>
          <w:sz w:val="20"/>
          <w:rFonts w:ascii="Noto Sans CJK JP" w:hAnsi="Noto Sans CJK JP" w:eastAsia="Noto Sans CJK JP" w:cs="Noto Sans CJK JP"/>
        </w:rPr>
        <w:t>を実際の新規ディレクトリに置き換えて実行します。描画確認の結果は公開された</w:t>
      </w:r>
      <w:r>
        <w:rPr>
          <w:rFonts w:ascii="Noto Sans Mono CJK JP" w:hAnsi="Noto Sans Mono CJK JP" w:eastAsia="Noto Sans Mono CJK JP" w:cs="Noto Sans Mono CJK JP"/>
          <w:b w:val="0"/>
          <w:sz w:val="18"/>
        </w:rPr>
        <w:t>artifact-validation.json</w:t>
      </w:r>
      <w:r>
        <w:rPr>
          <w:b w:val="0"/>
          <w:sz w:val="20"/>
          <w:rFonts w:ascii="Noto Sans CJK JP" w:hAnsi="Noto Sans CJK JP" w:eastAsia="Noto Sans CJK JP" w:cs="Noto Sans CJK JP"/>
        </w:rPr>
        <w:t>に記録します。</w:t>
      </w:r>
    </w:p>
    <w:p>
      <w:pPr>
        <w:spacing w:after="140"/>
      </w:pPr>
      <w:r>
        <w:rPr>
          <w:b w:val="0"/>
          <w:sz w:val="20"/>
          <w:rFonts w:ascii="Noto Sans CJK JP" w:hAnsi="Noto Sans CJK JP" w:eastAsia="Noto Sans CJK JP" w:cs="Noto Sans CJK JP"/>
        </w:rPr>
        <w:t xml:space="preserve">The </w:t>
      </w:r>
      <w:hyperlink r:id="rId7">
        <w:r>
          <w:rPr>
            <w:rStyle w:val="Hyperlink"/>
            <w:rFonts w:ascii="Noto Sans CJK JP" w:hAnsi="Noto Sans CJK JP" w:eastAsia="Noto Sans CJK JP" w:cs="Noto Sans CJK JP"/>
          </w:rPr>
          <w:t>dedicated builder</w:t>
        </w:r>
      </w:hyperlink>
      <w:r>
        <w:rPr>
          <w:b w:val="0"/>
          <w:sz w:val="20"/>
          <w:rFonts w:ascii="Noto Sans CJK JP" w:hAnsi="Noto Sans CJK JP" w:eastAsia="Noto Sans CJK JP" w:cs="Noto Sans CJK JP"/>
        </w:rPr>
        <w:t xml:space="preserve"> validates this README, the procedure and public counts JSON as one input set, then generates the separately dated Word/HTML pair and structural validation JSON. It neither regrades the study nor calls the cloud. Replace </w:t>
      </w:r>
      <w:r>
        <w:rPr>
          <w:rFonts w:ascii="Noto Sans Mono CJK JP" w:hAnsi="Noto Sans Mono CJK JP" w:eastAsia="Noto Sans Mono CJK JP" w:cs="Noto Sans Mono CJK JP"/>
          <w:b w:val="0"/>
          <w:sz w:val="18"/>
        </w:rPr>
        <w:t>PATH_TO_FRESH_PRIVATE_STAGE</w:t>
      </w:r>
      <w:r>
        <w:rPr>
          <w:b w:val="0"/>
          <w:sz w:val="20"/>
          <w:rFonts w:ascii="Noto Sans CJK JP" w:hAnsi="Noto Sans CJK JP" w:eastAsia="Noto Sans CJK JP" w:cs="Noto Sans CJK JP"/>
        </w:rPr>
        <w:t xml:space="preserve"> with a fresh private staging directory. Rendering checks are recorded in the published </w:t>
      </w:r>
      <w:r>
        <w:rPr>
          <w:rFonts w:ascii="Noto Sans Mono CJK JP" w:hAnsi="Noto Sans Mono CJK JP" w:eastAsia="Noto Sans Mono CJK JP" w:cs="Noto Sans Mono CJK JP"/>
          <w:b w:val="0"/>
          <w:sz w:val="18"/>
        </w:rPr>
        <w:t>artifact-validation.json</w:t>
      </w:r>
      <w:r>
        <w:rPr>
          <w:b w:val="0"/>
          <w:sz w:val="20"/>
          <w:rFonts w:ascii="Noto Sans CJK JP" w:hAnsi="Noto Sans CJK JP" w:eastAsia="Noto Sans CJK JP" w:cs="Noto Sans CJK JP"/>
        </w:rPr>
        <w:t>.</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b/>
                <w:color w:val="FFFFFF"/>
                <w:sz w:val="17"/>
                <w:rFonts w:ascii="Noto Sans CJK JP" w:hAnsi="Noto Sans CJK JP" w:eastAsia="Noto Sans CJK JP" w:cs="Noto Sans CJK JP"/>
              </w:rPr>
              <w:t>sh</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python tools/docs/build_measured_tuning_report.py \</w:t>
            </w:r>
          </w:p>
          <w:p>
            <w:pPr>
              <w:spacing w:after="0" w:line="240" w:lineRule="auto"/>
            </w:pPr>
            <w:r>
              <w:rPr>
                <w:rFonts w:ascii="Noto Sans Mono CJK JP" w:hAnsi="Noto Sans Mono CJK JP" w:eastAsia="Noto Sans Mono CJK JP" w:cs="Noto Sans Mono CJK JP"/>
                <w:sz w:val="17"/>
              </w:rPr>
              <w:t xml:space="preserve">  --input-dir docs/v3.0.0/tuning-20261010 \</w:t>
            </w:r>
          </w:p>
          <w:p>
            <w:pPr>
              <w:spacing w:after="0" w:line="240" w:lineRule="auto"/>
            </w:pPr>
            <w:r>
              <w:rPr>
                <w:rFonts w:ascii="Noto Sans Mono CJK JP" w:hAnsi="Noto Sans Mono CJK JP" w:eastAsia="Noto Sans Mono CJK JP" w:cs="Noto Sans Mono CJK JP"/>
                <w:sz w:val="17"/>
              </w:rPr>
              <w:t xml:space="preserve">  --out PATH_TO_FRESH_PRIVATE_STAGE</w:t>
            </w:r>
          </w:p>
        </w:tc>
      </w:tr>
    </w:tbl>
    <w:p>
      <w:pPr>
        <w:spacing w:before="0" w:after="0" w:line="20" w:lineRule="exact"/>
        <w:rPr>
          <w:sz w:val="2"/>
          <w:szCs w:val="2"/>
        </w:rPr>
      </w:pPr>
    </w:p>
    <w:p>
      <w:pPr>
        <w:pStyle w:val="Heading1"/>
        <w:keepNext/>
        <w:pageBreakBefore w:val="0"/>
        <w:spacing w:before="520" w:after="120"/>
        <w:pBdr>
          <w:bottom w:val="single" w:sz="6" w:space="0" w:color="D0D7DE"/>
        </w:pBdr>
      </w:pPr>
      <w:r>
        <w:rPr>
          <w:rFonts w:ascii="Noto Sans CJK JP" w:hAnsi="Noto Sans CJK JP" w:eastAsia="Noto Sans CJK JP" w:cs="Noto Sans CJK JP"/>
        </w:rPr>
        <w:t>精度の校正と資料の校正手順 / Calibration and proofreading procedure</w:t>
      </w:r>
    </w:p>
    <w:p>
      <w:pPr>
        <w:spacing w:after="140"/>
      </w:pPr>
      <w:r>
        <w:rPr>
          <w:b w:val="0"/>
          <w:sz w:val="20"/>
          <w:rFonts w:ascii="Noto Sans CJK JP" w:hAnsi="Noto Sans CJK JP" w:eastAsia="Noto Sans CJK JP" w:cs="Noto Sans CJK JP"/>
        </w:rPr>
        <w:t>現行教材、</w:t>
      </w:r>
      <w:hyperlink r:id="rId2">
        <w:r>
          <w:rPr>
            <w:rStyle w:val="Hyperlink"/>
            <w:rFonts w:ascii="Noto Sans CJK JP" w:hAnsi="Noto Sans CJK JP" w:eastAsia="Noto Sans CJK JP" w:cs="Noto Sans CJK JP"/>
          </w:rPr>
          <w:t>portable profile</w:t>
        </w:r>
      </w:hyperlink>
      <w:r>
        <w:rPr>
          <w:b w:val="0"/>
          <w:sz w:val="20"/>
          <w:rFonts w:ascii="Noto Sans CJK JP" w:hAnsi="Noto Sans CJK JP" w:eastAsia="Noto Sans CJK JP" w:cs="Noto Sans CJK JP"/>
        </w:rPr>
        <w:t>、Word、HTML、配布ZIPは、同じソース契約と同じ手順を使用します。</w:t>
      </w:r>
      <w:hyperlink r:id="rId8">
        <w:r>
          <w:rPr>
            <w:rStyle w:val="Hyperlink"/>
            <w:rFonts w:ascii="Noto Sans CJK JP" w:hAnsi="Noto Sans CJK JP" w:eastAsia="Noto Sans CJK JP" w:cs="Noto Sans CJK JP"/>
          </w:rPr>
          <w:t>実測要約</w:t>
        </w:r>
      </w:hyperlink>
      <w:r>
        <w:rPr>
          <w:b w:val="0"/>
          <w:sz w:val="20"/>
          <w:rFonts w:ascii="Noto Sans CJK JP" w:hAnsi="Noto Sans CJK JP" w:eastAsia="Noto Sans CJK JP" w:cs="Noto Sans CJK JP"/>
        </w:rPr>
        <w:t>の内容判定とnative実行判定を分けたまま、以下を実施します。</w:t>
      </w:r>
    </w:p>
    <w:p>
      <w:pPr>
        <w:spacing w:after="140"/>
      </w:pPr>
      <w:r>
        <w:rPr>
          <w:b w:val="0"/>
          <w:sz w:val="20"/>
          <w:rFonts w:ascii="Noto Sans CJK JP" w:hAnsi="Noto Sans CJK JP" w:eastAsia="Noto Sans CJK JP" w:cs="Noto Sans CJK JP"/>
        </w:rPr>
        <w:t xml:space="preserve">The current course, </w:t>
      </w:r>
      <w:hyperlink r:id="rId2">
        <w:r>
          <w:rPr>
            <w:rStyle w:val="Hyperlink"/>
            <w:rFonts w:ascii="Noto Sans CJK JP" w:hAnsi="Noto Sans CJK JP" w:eastAsia="Noto Sans CJK JP" w:cs="Noto Sans CJK JP"/>
          </w:rPr>
          <w:t>portable profile</w:t>
        </w:r>
      </w:hyperlink>
      <w:r>
        <w:rPr>
          <w:b w:val="0"/>
          <w:sz w:val="20"/>
          <w:rFonts w:ascii="Noto Sans CJK JP" w:hAnsi="Noto Sans CJK JP" w:eastAsia="Noto Sans CJK JP" w:cs="Noto Sans CJK JP"/>
        </w:rPr>
        <w:t xml:space="preserve">, Word, HTML and distribution ZIP use the same source contracts and procedures. Apply the steps below while keeping the </w:t>
      </w:r>
      <w:hyperlink r:id="rId8">
        <w:r>
          <w:rPr>
            <w:rStyle w:val="Hyperlink"/>
            <w:rFonts w:ascii="Noto Sans CJK JP" w:hAnsi="Noto Sans CJK JP" w:eastAsia="Noto Sans CJK JP" w:cs="Noto Sans CJK JP"/>
          </w:rPr>
          <w:t>measured summary</w:t>
        </w:r>
      </w:hyperlink>
      <w:r>
        <w:rPr>
          <w:b w:val="0"/>
          <w:sz w:val="20"/>
          <w:rFonts w:ascii="Noto Sans CJK JP" w:hAnsi="Noto Sans CJK JP" w:eastAsia="Noto Sans CJK JP" w:cs="Noto Sans CJK JP"/>
        </w:rPr>
        <w:t>'s content judgments separate from native-execution judgments.</w:t>
      </w:r>
    </w:p>
    <w:p>
      <w:pPr>
        <w:pStyle w:val="Heading2"/>
        <w:keepNext/>
        <w:spacing w:before="220" w:after="120"/>
      </w:pPr>
      <w:r>
        <w:rPr>
          <w:rFonts w:ascii="Noto Sans CJK JP" w:hAnsi="Noto Sans CJK JP" w:eastAsia="Noto Sans CJK JP" w:cs="Noto Sans CJK JP"/>
        </w:rPr>
        <w:t>1. 導入先とソースを固定する / Freeze the destination and sources</w:t>
      </w:r>
    </w:p>
    <w:p>
      <w:pPr>
        <w:spacing w:after="140"/>
      </w:pPr>
      <w:r>
        <w:rPr>
          <w:b w:val="0"/>
          <w:sz w:val="20"/>
          <w:rFonts w:ascii="Noto Sans CJK JP" w:hAnsi="Noto Sans CJK JP" w:eastAsia="Noto Sans CJK JP" w:cs="Noto Sans CJK JP"/>
        </w:rPr>
        <w:t>1. 対象Workspace・フォルダ・各Itemと、公開済みAgentの定義を確認します。同じWorkshopにOntology 1つ、Agent 1つを使用します。互換Ontologyを追加してconsumerの失敗を隠しません。</w:t>
      </w:r>
    </w:p>
    <w:p>
      <w:pPr>
        <w:spacing w:after="140"/>
      </w:pPr>
      <w:r>
        <w:rPr>
          <w:b w:val="0"/>
          <w:sz w:val="20"/>
          <w:rFonts w:ascii="Noto Sans CJK JP" w:hAnsi="Noto Sans CJK JP" w:eastAsia="Noto Sans CJK JP" w:cs="Noto Sans CJK JP"/>
        </w:rPr>
        <w:t>2. 実在する4ソースのnative schemaと選択状態、SQL metadata、Semantic ModelのTMDLを読み戻します。ビュー・品質テーブルを、ソース別に必要な範囲で選択します。古いItem IDや別ソースの列を転用しません。</w:t>
      </w:r>
    </w:p>
    <w:p>
      <w:pPr>
        <w:spacing w:after="140"/>
      </w:pPr>
      <w:r>
        <w:rPr>
          <w:b w:val="0"/>
          <w:sz w:val="20"/>
          <w:rFonts w:ascii="Noto Sans CJK JP" w:hAnsi="Noto Sans CJK JP" w:eastAsia="Noto Sans CJK JP" w:cs="Noto Sans CJK JP"/>
        </w:rPr>
        <w:t>3. 同じReadyの処理RunとGeneration、粒度・期間・件数・金額を直接SQL/KQL/DAXで照合し、前後で業務データが変わっていないことを記録します。CSVのrunラベルと処理Runは区別します。完了済み取り込みやNotebookの再実行で比較の母集団を変えません。</w:t>
      </w:r>
    </w:p>
    <w:p>
      <w:pPr>
        <w:spacing w:after="140"/>
      </w:pPr>
      <w:r>
        <w:rPr>
          <w:b w:val="0"/>
          <w:sz w:val="20"/>
          <w:rFonts w:ascii="Noto Sans CJK JP" w:hAnsi="Noto Sans CJK JP" w:eastAsia="Noto Sans CJK JP" w:cs="Noto Sans CJK JP"/>
        </w:rPr>
        <w:t>4. ソース定義・選択・指示・回答例・業務データfingerprintをハッシュで固定します。元の記録は変更せず、後続修正は別revisionとして保存します。</w:t>
      </w:r>
    </w:p>
    <w:p>
      <w:pPr>
        <w:spacing w:after="140"/>
      </w:pPr>
      <w:r>
        <w:rPr>
          <w:b w:val="0"/>
          <w:sz w:val="20"/>
          <w:rFonts w:ascii="Noto Sans CJK JP" w:hAnsi="Noto Sans CJK JP" w:eastAsia="Noto Sans CJK JP" w:cs="Noto Sans CJK JP"/>
        </w:rPr>
        <w:t>1. Confirm the destination Workspace, folder, Items and published Agent definition. Use one Ontology and one Agent for the workshop; an additional compatibility Ontology must not hide a failed consumer route.</w:t>
      </w:r>
    </w:p>
    <w:p>
      <w:pPr>
        <w:spacing w:after="140"/>
      </w:pPr>
      <w:r>
        <w:rPr>
          <w:b w:val="0"/>
          <w:sz w:val="20"/>
          <w:rFonts w:ascii="Noto Sans CJK JP" w:hAnsi="Noto Sans CJK JP" w:eastAsia="Noto Sans CJK JP" w:cs="Noto Sans CJK JP"/>
        </w:rPr>
        <w:t>2. Read back all four actual source schemas and selections, SQL metadata and Semantic Model TMDL. Select the required views and quality tables for their respective sources. Do not reuse stale Item IDs or columns from another source.</w:t>
      </w:r>
    </w:p>
    <w:p>
      <w:pPr>
        <w:spacing w:after="140"/>
      </w:pPr>
      <w:r>
        <w:rPr>
          <w:b w:val="0"/>
          <w:sz w:val="20"/>
          <w:rFonts w:ascii="Noto Sans CJK JP" w:hAnsi="Noto Sans CJK JP" w:eastAsia="Noto Sans CJK JP" w:cs="Noto Sans CJK JP"/>
        </w:rPr>
        <w:t>3. Reconcile the same Ready processing run and generation, grain, periods, counts and amounts through direct SQL/KQL/DAX. Record unchanged business data. Distinguish CSV run labels from processing runs. Do not change the comparison population by repeating completed ingestion or Notebook runs.</w:t>
      </w:r>
    </w:p>
    <w:p>
      <w:pPr>
        <w:spacing w:after="140"/>
      </w:pPr>
      <w:r>
        <w:rPr>
          <w:b w:val="0"/>
          <w:sz w:val="20"/>
          <w:rFonts w:ascii="Noto Sans CJK JP" w:hAnsi="Noto Sans CJK JP" w:eastAsia="Noto Sans CJK JP" w:cs="Noto Sans CJK JP"/>
        </w:rPr>
        <w:t>4. Hash source definitions, selections, instructions, examples and the business-data fingerprint. Preserve originals; store subsequent changes as separate revisions.</w:t>
      </w:r>
    </w:p>
    <w:p>
      <w:pPr>
        <w:pStyle w:val="Heading2"/>
        <w:keepNext/>
        <w:spacing w:before="220" w:after="120"/>
      </w:pPr>
      <w:r>
        <w:rPr>
          <w:rFonts w:ascii="Noto Sans CJK JP" w:hAnsi="Noto Sans CJK JP" w:eastAsia="Noto Sans CJK JP" w:cs="Noto Sans CJK JP"/>
        </w:rPr>
        <w:t>2. 検証計画を回答取得前に固定する / Freeze the evaluation before collecting answers</w:t>
      </w:r>
    </w:p>
    <w:p>
      <w:pPr>
        <w:spacing w:after="140"/>
      </w:pPr>
      <w:r>
        <w:rPr>
          <w:b w:val="0"/>
          <w:sz w:val="20"/>
          <w:rFonts w:ascii="Noto Sans CJK JP" w:hAnsi="Noto Sans CJK JP" w:eastAsia="Noto Sans CJK JP" w:cs="Noto Sans CJK JP"/>
        </w:rPr>
        <w:t>1. 質問集合、固定rubric、適用条件、試行回数、ソース要件、timeout、取得期限、未取得・NA・UNCLEARの扱いを記録します。変更の対象を確認する限定検証と、全体回帰を分けます。</w:t>
      </w:r>
    </w:p>
    <w:p>
      <w:pPr>
        <w:spacing w:after="140"/>
      </w:pPr>
      <w:r>
        <w:rPr>
          <w:b w:val="0"/>
          <w:sz w:val="20"/>
          <w:rFonts w:ascii="Noto Sans CJK JP" w:hAnsi="Noto Sans CJK JP" w:eastAsia="Noto Sans CJK JP" w:cs="Noto Sans CJK JP"/>
        </w:rPr>
        <w:t>2. 学習・修正用の質問と未使用検証を分けます。未使用の質問や期待解答を指示・回答例に含めません。実在スキーマやメジャーの定義はソース情報として利用できます。</w:t>
      </w:r>
    </w:p>
    <w:p>
      <w:pPr>
        <w:spacing w:after="140"/>
      </w:pPr>
      <w:r>
        <w:rPr>
          <w:b w:val="0"/>
          <w:sz w:val="20"/>
          <w:rFonts w:ascii="Noto Sans CJK JP" w:hAnsi="Noto Sans CJK JP" w:eastAsia="Noto Sans CJK JP" w:cs="Noto Sans CJK JP"/>
        </w:rPr>
        <w:t>3. 元10問・84条件を使う場合はその質問・条件を変えず、3回なら252条件として全試行を残します。確認質問のNAや、ソースの利用可能性が変わった条件は元判定を保持し、対応のある比較の除外理由・件数を別に示します。</w:t>
      </w:r>
    </w:p>
    <w:p>
      <w:pPr>
        <w:spacing w:after="140"/>
      </w:pPr>
      <w:r>
        <w:rPr>
          <w:b w:val="0"/>
          <w:sz w:val="20"/>
          <w:rFonts w:ascii="Noto Sans CJK JP" w:hAnsi="Noto Sans CJK JP" w:eastAsia="Noto Sans CJK JP" w:cs="Noto Sans CJK JP"/>
        </w:rPr>
        <w:t>4. 新しい会話へ計画どおりに1回送信します。途中エラー・取得不能を残し、良い回答の再試行だけを選びません。送信済みの結果回収は既存Responseの確認とし、質問の再送とは区別します。</w:t>
      </w:r>
    </w:p>
    <w:p>
      <w:pPr>
        <w:spacing w:after="140"/>
      </w:pPr>
      <w:r>
        <w:rPr>
          <w:b w:val="0"/>
          <w:sz w:val="20"/>
          <w:rFonts w:ascii="Noto Sans CJK JP" w:hAnsi="Noto Sans CJK JP" w:eastAsia="Noto Sans CJK JP" w:cs="Noto Sans CJK JP"/>
        </w:rPr>
        <w:t>1. Record the question sets, frozen rubric, applicable conditions, repetitions, source requirements, timeouts, collection deadline and treatment of missing, NA and UNCLEAR outcomes. Separate targeted checks from full regression.</w:t>
      </w:r>
    </w:p>
    <w:p>
      <w:pPr>
        <w:spacing w:after="140"/>
      </w:pPr>
      <w:r>
        <w:rPr>
          <w:b w:val="0"/>
          <w:sz w:val="20"/>
          <w:rFonts w:ascii="Noto Sans CJK JP" w:hAnsi="Noto Sans CJK JP" w:eastAsia="Noto Sans CJK JP" w:cs="Noto Sans CJK JP"/>
        </w:rPr>
        <w:t>2. Keep development questions separate from unused validation. Do not add unused questions or expected answers to instructions or examples. Actual schemas and measure definitions are legitimate source metadata.</w:t>
      </w:r>
    </w:p>
    <w:p>
      <w:pPr>
        <w:spacing w:after="140"/>
      </w:pPr>
      <w:r>
        <w:rPr>
          <w:b w:val="0"/>
          <w:sz w:val="20"/>
          <w:rFonts w:ascii="Noto Sans CJK JP" w:hAnsi="Noto Sans CJK JP" w:eastAsia="Noto Sans CJK JP" w:cs="Noto Sans CJK JP"/>
        </w:rPr>
        <w:t>3. If using the original ten-question, 84-condition suite, preserve its questions and conditions. Three repetitions retain all 252 judgments. Preserve original NA and changed-source-premise judgments; report any paired-comparison exclusions separately with reasons and counts.</w:t>
      </w:r>
    </w:p>
    <w:p>
      <w:pPr>
        <w:spacing w:after="140"/>
      </w:pPr>
      <w:r>
        <w:rPr>
          <w:b w:val="0"/>
          <w:sz w:val="20"/>
          <w:rFonts w:ascii="Noto Sans CJK JP" w:hAnsi="Noto Sans CJK JP" w:eastAsia="Noto Sans CJK JP" w:cs="Noto Sans CJK JP"/>
        </w:rPr>
        <w:t>4. Submit each planned question once in a new conversation. Retain intermediate errors and unavailable outcomes; do not select favorable retries. Retrieval of an existing Response is distinct from resubmitting a question.</w:t>
      </w:r>
    </w:p>
    <w:p>
      <w:pPr>
        <w:pStyle w:val="Heading2"/>
        <w:keepNext/>
        <w:spacing w:before="220" w:after="120"/>
      </w:pPr>
      <w:r>
        <w:rPr>
          <w:rFonts w:ascii="Noto Sans CJK JP" w:hAnsi="Noto Sans CJK JP" w:eastAsia="Noto Sans CJK JP" w:cs="Noto Sans CJK JP"/>
        </w:rPr>
        <w:t>3. 指示を校正し、適用結果を確認する / Calibrate instructions and verify application</w:t>
      </w:r>
    </w:p>
    <w:p>
      <w:pPr>
        <w:spacing w:after="140"/>
      </w:pPr>
      <w:r>
        <w:rPr>
          <w:b w:val="0"/>
          <w:sz w:val="20"/>
          <w:rFonts w:ascii="Noto Sans CJK JP" w:hAnsi="Noto Sans CJK JP" w:eastAsia="Noto Sans CJK JP" w:cs="Noto Sans CJK JP"/>
        </w:rPr>
        <w:t xml:space="preserve">1. </w:t>
      </w:r>
      <w:hyperlink r:id="rId2">
        <w:r>
          <w:rPr>
            <w:rStyle w:val="Hyperlink"/>
            <w:rFonts w:ascii="Noto Sans CJK JP" w:hAnsi="Noto Sans CJK JP" w:eastAsia="Noto Sans CJK JP" w:cs="Noto Sans CJK JP"/>
          </w:rPr>
          <w:t>portable profileの手順</w:t>
        </w:r>
      </w:hyperlink>
      <w:r>
        <w:rPr>
          <w:b w:val="0"/>
          <w:sz w:val="20"/>
          <w:rFonts w:ascii="Noto Sans CJK JP" w:hAnsi="Noto Sans CJK JP" w:eastAsia="Noto Sans CJK JP" w:cs="Noto Sans CJK JP"/>
        </w:rPr>
        <w:t>に従い、導入先の証明済みmetadataからDraftを生成します。指示長のサービス上限、4ソース、Ontology数、選択、回答例、Code Interpreter、変更対象外の定義を確認します。</w:t>
      </w:r>
    </w:p>
    <w:p>
      <w:pPr>
        <w:spacing w:after="140"/>
      </w:pPr>
      <w:r>
        <w:rPr>
          <w:b w:val="0"/>
          <w:sz w:val="20"/>
          <w:rFonts w:ascii="Noto Sans CJK JP" w:hAnsi="Noto Sans CJK JP" w:eastAsia="Noto Sans CJK JP" w:cs="Noto Sans CJK JP"/>
        </w:rPr>
        <w:t>2. SQLでは識別子・別名を引用し、名称dimensionから名前を取得し、集計と順位に同じ明細filterを適用します。SQLの回答例は実サービスのvalidation結果を確認し、Invalidは公開成功に数えません。</w:t>
      </w:r>
    </w:p>
    <w:p>
      <w:pPr>
        <w:spacing w:after="140"/>
      </w:pPr>
      <w:r>
        <w:rPr>
          <w:b w:val="0"/>
          <w:sz w:val="20"/>
          <w:rFonts w:ascii="Noto Sans CJK JP" w:hAnsi="Noto Sans CJK JP" w:eastAsia="Noto Sans CJK JP" w:cs="Noto Sans CJK JP"/>
        </w:rPr>
        <w:t xml:space="preserve">3. 時刻は結果のUTC ISOを優先し、12 AMは00時、12 PMは12時、1–11 PMは12を加えます。元タイムゾーンを確認せず </w:t>
      </w:r>
      <w:r>
        <w:rPr>
          <w:rFonts w:ascii="Noto Sans Mono CJK JP" w:hAnsi="Noto Sans Mono CJK JP" w:eastAsia="Noto Sans Mono CJK JP" w:cs="Noto Sans Mono CJK JP"/>
          <w:b w:val="0"/>
          <w:sz w:val="18"/>
        </w:rPr>
        <w:t>Z</w:t>
      </w:r>
      <w:r>
        <w:rPr>
          <w:b w:val="0"/>
          <w:sz w:val="20"/>
          <w:rFonts w:ascii="Noto Sans CJK JP" w:hAnsi="Noto Sans CJK JP" w:eastAsia="Noto Sans CJK JP" w:cs="Noto Sans CJK JP"/>
        </w:rPr>
        <w:t xml:space="preserve"> を付けません。JSTは+09:00と日付繰越を確認します。区間の重なりとEventIDの同一性を分けます。</w:t>
      </w:r>
    </w:p>
    <w:p>
      <w:pPr>
        <w:spacing w:after="140"/>
      </w:pPr>
      <w:r>
        <w:rPr>
          <w:b w:val="0"/>
          <w:sz w:val="20"/>
          <w:rFonts w:ascii="Noto Sans CJK JP" w:hAnsi="Noto Sans CJK JP" w:eastAsia="Noto Sans CJK JP" w:cs="Noto Sans CJK JP"/>
        </w:rPr>
        <w:t xml:space="preserve">4. DAXは選択済みソースの実在TMDL定義を参照します。以下の既存定義では、内部 </w:t>
      </w:r>
      <w:r>
        <w:rPr>
          <w:rFonts w:ascii="Noto Sans Mono CJK JP" w:hAnsi="Noto Sans Mono CJK JP" w:eastAsia="Noto Sans Mono CJK JP" w:cs="Noto Sans Mono CJK JP"/>
          <w:b w:val="0"/>
          <w:sz w:val="18"/>
        </w:rPr>
        <w:t>KEEPFILTERS</w:t>
      </w:r>
      <w:r>
        <w:rPr>
          <w:b w:val="0"/>
          <w:sz w:val="20"/>
          <w:rFonts w:ascii="Noto Sans CJK JP" w:hAnsi="Noto Sans CJK JP" w:eastAsia="Noto Sans CJK JP" w:cs="Noto Sans CJK JP"/>
        </w:rPr>
        <w:t xml:space="preserve"> が外側の同じ列filterと交差します。外側 </w:t>
      </w:r>
      <w:r>
        <w:rPr>
          <w:rFonts w:ascii="Noto Sans Mono CJK JP" w:hAnsi="Noto Sans Mono CJK JP" w:eastAsia="Noto Sans Mono CJK JP" w:cs="Noto Sans Mono CJK JP"/>
          <w:b w:val="0"/>
          <w:sz w:val="18"/>
        </w:rPr>
        <w:t>CALCULATE</w:t>
      </w:r>
      <w:r>
        <w:rPr>
          <w:b w:val="0"/>
          <w:sz w:val="20"/>
          <w:rFonts w:ascii="Noto Sans CJK JP" w:hAnsi="Noto Sans CJK JP" w:eastAsia="Noto Sans CJK JP" w:cs="Noto Sans CJK JP"/>
        </w:rPr>
        <w:t xml:space="preserve"> の通常の置換動作だけでBLANKを説明しません。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spacing w:after="0" w:before="0"/>
            </w:pPr>
            <w:r>
              <w:rPr>
                <w:rFonts w:ascii="Noto Sans CJK JP" w:hAnsi="Noto Sans CJK JP" w:eastAsia="Noto Sans CJK JP" w:cs="Noto Sans CJK JP"/>
              </w:rPr>
            </w:r>
            <w:r>
              <w:rPr>
                <w:b/>
                <w:color w:val="FFFFFF"/>
                <w:sz w:val="17"/>
                <w:rFonts w:ascii="Noto Sans CJK JP" w:hAnsi="Noto Sans CJK JP" w:eastAsia="Noto Sans CJK JP" w:cs="Noto Sans CJK JP"/>
              </w:rPr>
              <w:t>dax</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[静的寄附件数] = CALCULATE([寄附件数], KEEPFILTERS('寄附'[データソース] = "StaticSeed"))</w:t>
            </w:r>
          </w:p>
          <w:p>
            <w:pPr>
              <w:spacing w:after="0" w:line="240" w:lineRule="auto"/>
            </w:pPr>
            <w:r>
              <w:rPr>
                <w:rFonts w:ascii="Noto Sans Mono CJK JP" w:hAnsi="Noto Sans Mono CJK JP" w:eastAsia="Noto Sans Mono CJK JP" w:cs="Noto Sans Mono CJK JP"/>
                <w:sz w:val="17"/>
              </w:rPr>
              <w:t>[受入増分寄附件数] = CALCULATE([寄附件数], KEEPFILTERS('寄附'[データソース] = "RealtimeIncrement"))</w:t>
            </w:r>
          </w:p>
        </w:tc>
      </w:tr>
    </w:tbl>
    <w:p>
      <w:pPr>
        <w:spacing w:before="0" w:after="0" w:line="20" w:lineRule="exact"/>
        <w:rPr>
          <w:sz w:val="2"/>
          <w:szCs w:val="2"/>
        </w:rPr>
      </w:pPr>
    </w:p>
    <w:p>
      <w:pPr>
        <w:spacing w:after="140"/>
      </w:pPr>
      <w:r>
        <w:rPr>
          <w:b w:val="0"/>
          <w:sz w:val="20"/>
          <w:rFonts w:ascii="Noto Sans CJK JP" w:hAnsi="Noto Sans CJK JP" w:eastAsia="Noto Sans CJK JP" w:cs="Noto Sans CJK JP"/>
        </w:rPr>
        <w:t>5. 公開後に定義を読み戻し、候補とサービスが正規化した実公開定義のハッシュを区別します。定義の一致は回答精度の受入ではありません。取得中に設定を変えず、次の修正は別フェーズで取得します。</w:t>
      </w:r>
    </w:p>
    <w:p>
      <w:pPr>
        <w:spacing w:after="140"/>
      </w:pPr>
      <w:r>
        <w:rPr>
          <w:b w:val="0"/>
          <w:sz w:val="20"/>
          <w:rFonts w:ascii="Noto Sans CJK JP" w:hAnsi="Noto Sans CJK JP" w:eastAsia="Noto Sans CJK JP" w:cs="Noto Sans CJK JP"/>
        </w:rPr>
        <w:t xml:space="preserve">1. Follow the </w:t>
      </w:r>
      <w:hyperlink r:id="rId2">
        <w:r>
          <w:rPr>
            <w:rStyle w:val="Hyperlink"/>
            <w:rFonts w:ascii="Noto Sans CJK JP" w:hAnsi="Noto Sans CJK JP" w:eastAsia="Noto Sans CJK JP" w:cs="Noto Sans CJK JP"/>
          </w:rPr>
          <w:t>portable profile procedure</w:t>
        </w:r>
      </w:hyperlink>
      <w:r>
        <w:rPr>
          <w:b w:val="0"/>
          <w:sz w:val="20"/>
          <w:rFonts w:ascii="Noto Sans CJK JP" w:hAnsi="Noto Sans CJK JP" w:eastAsia="Noto Sans CJK JP" w:cs="Noto Sans CJK JP"/>
        </w:rPr>
        <w:t xml:space="preserve"> to compile a Draft from verified destination metadata. Check service instruction-length limits, four sources, Ontology count, selections, examples, Code Interpreter and preserved definitions.</w:t>
      </w:r>
    </w:p>
    <w:p>
      <w:pPr>
        <w:spacing w:after="140"/>
      </w:pPr>
      <w:r>
        <w:rPr>
          <w:b w:val="0"/>
          <w:sz w:val="20"/>
          <w:rFonts w:ascii="Noto Sans CJK JP" w:hAnsi="Noto Sans CJK JP" w:eastAsia="Noto Sans CJK JP" w:cs="Noto Sans CJK JP"/>
        </w:rPr>
        <w:t>2. Quote SQL identifiers and aliases, obtain names from real name dimensions, and apply identical fact filters to totals and rankings. Check example validation in the actual service; an Invalid example is not a publication success.</w:t>
      </w:r>
    </w:p>
    <w:p>
      <w:pPr>
        <w:spacing w:after="140"/>
      </w:pPr>
      <w:r>
        <w:rPr>
          <w:b w:val="0"/>
          <w:sz w:val="20"/>
          <w:rFonts w:ascii="Noto Sans CJK JP" w:hAnsi="Noto Sans CJK JP" w:eastAsia="Noto Sans CJK JP" w:cs="Noto Sans CJK JP"/>
        </w:rPr>
        <w:t xml:space="preserve">3. Prefer source-returned UTC ISO timestamps. Convert 12 AM to 00, keep 12 PM as 12, and add 12 to 1–11 PM. Do not append </w:t>
      </w:r>
      <w:r>
        <w:rPr>
          <w:rFonts w:ascii="Noto Sans Mono CJK JP" w:hAnsi="Noto Sans Mono CJK JP" w:eastAsia="Noto Sans Mono CJK JP" w:cs="Noto Sans Mono CJK JP"/>
          <w:b w:val="0"/>
          <w:sz w:val="18"/>
        </w:rPr>
        <w:t>Z</w:t>
      </w:r>
      <w:r>
        <w:rPr>
          <w:b w:val="0"/>
          <w:sz w:val="20"/>
          <w:rFonts w:ascii="Noto Sans CJK JP" w:hAnsi="Noto Sans CJK JP" w:eastAsia="Noto Sans CJK JP" w:cs="Noto Sans CJK JP"/>
        </w:rPr>
        <w:t xml:space="preserve"> without confirming the source timezone. For JST, check +09:00 and date rollover. Keep interval overlap separate from EventID identity.</w:t>
      </w:r>
    </w:p>
    <w:p>
      <w:pPr>
        <w:spacing w:after="140"/>
      </w:pPr>
      <w:r>
        <w:rPr>
          <w:b w:val="0"/>
          <w:sz w:val="20"/>
          <w:rFonts w:ascii="Noto Sans CJK JP" w:hAnsi="Noto Sans CJK JP" w:eastAsia="Noto Sans CJK JP" w:cs="Noto Sans CJK JP"/>
        </w:rPr>
        <w:t xml:space="preserve">4. Use actual TMDL from the selected source. In the definitions above, internal </w:t>
      </w:r>
      <w:r>
        <w:rPr>
          <w:rFonts w:ascii="Noto Sans Mono CJK JP" w:hAnsi="Noto Sans Mono CJK JP" w:eastAsia="Noto Sans Mono CJK JP" w:cs="Noto Sans Mono CJK JP"/>
          <w:b w:val="0"/>
          <w:sz w:val="18"/>
        </w:rPr>
        <w:t>KEEPFILTERS</w:t>
      </w:r>
      <w:r>
        <w:rPr>
          <w:b w:val="0"/>
          <w:sz w:val="20"/>
          <w:rFonts w:ascii="Noto Sans CJK JP" w:hAnsi="Noto Sans CJK JP" w:eastAsia="Noto Sans CJK JP" w:cs="Noto Sans CJK JP"/>
        </w:rPr>
        <w:t xml:space="preserve"> intersects the outer filter on the same column. The ordinary outer </w:t>
      </w:r>
      <w:r>
        <w:rPr>
          <w:rFonts w:ascii="Noto Sans Mono CJK JP" w:hAnsi="Noto Sans Mono CJK JP" w:eastAsia="Noto Sans Mono CJK JP" w:cs="Noto Sans Mono CJK JP"/>
          <w:b w:val="0"/>
          <w:sz w:val="18"/>
        </w:rPr>
        <w:t>CALCULATE</w:t>
      </w:r>
      <w:r>
        <w:rPr>
          <w:b w:val="0"/>
          <w:sz w:val="20"/>
          <w:rFonts w:ascii="Noto Sans CJK JP" w:hAnsi="Noto Sans CJK JP" w:eastAsia="Noto Sans CJK JP" w:cs="Noto Sans CJK JP"/>
        </w:rPr>
        <w:t xml:space="preserve"> replacement behavior alone does not explain BLANK.</w:t>
      </w:r>
    </w:p>
    <w:p>
      <w:pPr>
        <w:spacing w:after="140"/>
      </w:pPr>
      <w:r>
        <w:rPr>
          <w:b w:val="0"/>
          <w:sz w:val="20"/>
          <w:rFonts w:ascii="Noto Sans CJK JP" w:hAnsi="Noto Sans CJK JP" w:eastAsia="Noto Sans CJK JP" w:cs="Noto Sans CJK JP"/>
        </w:rPr>
        <w:t>5. Read back the published definition and distinguish the candidate hash from the service-normalized published hash. Matching definitions do not establish answer-quality acceptance. Keep configuration fixed during collection; evaluate the next revision in a separate phase.</w:t>
      </w:r>
    </w:p>
    <w:p>
      <w:pPr>
        <w:pStyle w:val="Heading2"/>
        <w:keepNext/>
        <w:spacing w:before="220" w:after="120"/>
      </w:pPr>
      <w:r>
        <w:rPr>
          <w:rFonts w:ascii="Noto Sans CJK JP" w:hAnsi="Noto Sans CJK JP" w:eastAsia="Noto Sans CJK JP" w:cs="Noto Sans CJK JP"/>
        </w:rPr>
        <w:t>4. 内容とnative実行を別々に採点する / Score content and native execution separately</w:t>
      </w:r>
    </w:p>
    <w:tbl>
      <w:tblPr>
        <w:tblStyle w:val="TableGrid"/>
        <w:tblW w:type="auto" w:w="0"/>
        <w:jc w:val="center"/>
        <w:tblLayout w:type="fixed"/>
        <w:tblLook w:firstColumn="1" w:firstRow="1" w:lastColumn="0" w:lastRow="0" w:noHBand="0" w:noVBand="1" w:val="04A0"/>
        <w:tblCaption w:val="表 3"/>
        <w:tblDescription w:val="測定・手順 / Measurements and procedure"/>
      </w:tblPr>
      <w:tblGrid>
        <w:gridCol w:w="4819"/>
        <w:gridCol w:w="4819"/>
      </w:tblGrid>
      <w:tr>
        <w:trPr>
          <w:tblHeader w:val="true"/>
          <w:cantSplit w:val="true"/>
        </w:trPr>
        <w:tc>
          <w:tcPr>
            <w:tcW w:type="dxa" w:w="2711"/>
            <w:shd w:val="clear" w:color="auto" w:fill="174C88"/>
          </w:tcPr>
          <w:p>
            <w:pPr>
              <w:spacing w:after="20" w:before="20"/>
            </w:pPr>
            <w:r>
              <w:rPr>
                <w:rFonts w:ascii="Noto Sans CJK JP" w:hAnsi="Noto Sans CJK JP" w:eastAsia="Noto Sans CJK JP" w:cs="Noto Sans CJK JP"/>
              </w:rPr>
            </w:r>
            <w:r>
              <w:rPr>
                <w:b/>
                <w:color w:val="FFFFFF"/>
                <w:sz w:val="17"/>
                <w:rFonts w:ascii="Noto Sans CJK JP" w:hAnsi="Noto Sans CJK JP" w:eastAsia="Noto Sans CJK JP" w:cs="Noto Sans CJK JP"/>
              </w:rPr>
              <w:t>確認項目 / Check</w:t>
            </w:r>
          </w:p>
        </w:tc>
        <w:tc>
          <w:tcPr>
            <w:tcW w:type="dxa" w:w="6927"/>
            <w:shd w:val="clear" w:color="auto" w:fill="174C88"/>
          </w:tcPr>
          <w:p>
            <w:pPr>
              <w:spacing w:after="20" w:before="20"/>
            </w:pPr>
            <w:r>
              <w:rPr>
                <w:rFonts w:ascii="Noto Sans CJK JP" w:hAnsi="Noto Sans CJK JP" w:eastAsia="Noto Sans CJK JP" w:cs="Noto Sans CJK JP"/>
              </w:rPr>
            </w:r>
            <w:r>
              <w:rPr>
                <w:b/>
                <w:color w:val="FFFFFF"/>
                <w:sz w:val="17"/>
                <w:rFonts w:ascii="Noto Sans CJK JP" w:hAnsi="Noto Sans CJK JP" w:eastAsia="Noto Sans CJK JP" w:cs="Noto Sans CJK JP"/>
              </w:rPr>
              <w:t>必要な根拠 / Required evidence</w:t>
            </w:r>
          </w:p>
        </w:tc>
      </w:tr>
      <w:tr>
        <w:trPr>
          <w:cantSplit w:val="true"/>
        </w:trPr>
        <w:tc>
          <w:tcPr>
            <w:tcW w:type="dxa" w:w="2711"/>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回答内容 / Answer content</w:t>
            </w:r>
          </w:p>
        </w:tc>
        <w:tc>
          <w:tcPr>
            <w:tcW w:type="dxa" w:w="6927"/>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固定条件、実回答、独立したソース照合。PASS／FAIL／UNCLEAR／NAを保持 / Frozen conditions, actual answers and independent source reconciliation; retain all verdicts</w:t>
            </w:r>
          </w:p>
        </w:tc>
      </w:tr>
      <w:tr>
        <w:trPr>
          <w:cantSplit w:val="true"/>
        </w:trPr>
        <w:tc>
          <w:tcPr>
            <w:tcW w:type="dxa" w:w="2711"/>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必要ソース / Required source</w:t>
            </w:r>
          </w:p>
        </w:tc>
        <w:tc>
          <w:tcPr>
            <w:tcW w:type="dxa" w:w="6927"/>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実際に呼び出されたソースとnative ID、必要な経路 / Actual invoked source and native identity, required route</w:t>
            </w:r>
          </w:p>
        </w:tc>
      </w:tr>
      <w:tr>
        <w:trPr>
          <w:cantSplit w:val="true"/>
        </w:trPr>
        <w:tc>
          <w:tcPr>
            <w:tcW w:type="dxa" w:w="2711"/>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実行結果 / Execution result</w:t>
            </w:r>
          </w:p>
        </w:tc>
        <w:tc>
          <w:tcPr>
            <w:tcW w:type="dxa" w:w="6927"/>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実行クエリと構造化返却結果、エラー、tool完了状態 / Executed queries, structured returned results, errors and tool completion</w:t>
            </w:r>
          </w:p>
        </w:tc>
      </w:tr>
      <w:tr>
        <w:trPr>
          <w:cantSplit w:val="true"/>
        </w:trPr>
        <w:tc>
          <w:tcPr>
            <w:tcW w:type="dxa" w:w="2711"/>
            <w:shd w:val="clear" w:color="auto" w:fill="EEF3F9"/>
          </w:tcPr>
          <w:p>
            <w:pPr>
              <w:keepNext/>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定義と出力 / Definition and output</w:t>
            </w:r>
          </w:p>
        </w:tc>
        <w:tc>
          <w:tcPr>
            <w:tcW w:type="dxa" w:w="6927"/>
            <w:shd w:val="clear" w:color="auto" w:fill="EEF3F9"/>
          </w:tcPr>
          <w:p>
            <w:pPr>
              <w:keepNext/>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公開読戻しのハッシュ、capture件数、送信／未送信／結果不明の件数 / Published readback hash, capture counts and submitted/unsubmitted/unknown counts</w:t>
            </w:r>
          </w:p>
        </w:tc>
      </w:tr>
    </w:tbl>
    <w:p>
      <w:pPr>
        <w:pStyle w:val="Caption"/>
        <w:spacing w:before="40" w:after="200"/>
        <w:jc w:val="left"/>
      </w:pPr>
      <w:r>
        <w:rPr>
          <w:sz w:val="17"/>
          <w:rFonts w:ascii="Noto Sans CJK JP" w:hAnsi="Noto Sans CJK JP" w:eastAsia="Noto Sans CJK JP" w:cs="Noto Sans CJK JP"/>
        </w:rPr>
        <w:t>表 3　測定・手順 / Measurements and procedure</w:t>
      </w:r>
    </w:p>
    <w:p>
      <w:pPr>
        <w:spacing w:after="140"/>
      </w:pPr>
      <w:r>
        <w:rPr>
          <w:b w:val="0"/>
          <w:sz w:val="20"/>
          <w:rFonts w:ascii="Noto Sans CJK JP" w:hAnsi="Noto Sans CJK JP" w:eastAsia="Noto Sans CJK JP" w:cs="Noto Sans CJK JP"/>
        </w:rPr>
        <w:t>回答に書かれたSQL/DAX/GQLは、それだけでは実行証拠になりません。直接エンジンの成功はAgent経由の成功を代替せず、HTTP 200／Response completedも内部query成功を意味しません。証拠不完全の正しい最終回答は、内容の一致とnative制約を両方報告します。未解決のconsumer、schema、native機能、UIの状態を残します。</w:t>
      </w:r>
    </w:p>
    <w:p>
      <w:pPr>
        <w:spacing w:after="140"/>
      </w:pPr>
      <w:r>
        <w:rPr>
          <w:b w:val="0"/>
          <w:sz w:val="20"/>
          <w:rFonts w:ascii="Noto Sans CJK JP" w:hAnsi="Noto Sans CJK JP" w:eastAsia="Noto Sans CJK JP" w:cs="Noto Sans CJK JP"/>
        </w:rPr>
        <w:t>SQL/DAX/GQL written in an answer is not execution evidence on its own. Direct-engine success does not replace Agent-route success, and HTTP 200 or a completed Response does not establish internal-query success. When a correct final answer has incomplete evidence, report both content agreement and native limitations. Retain unresolved consumer, schema, native-feature and UI states.</w:t>
      </w:r>
    </w:p>
    <w:p>
      <w:pPr>
        <w:pStyle w:val="Heading2"/>
        <w:keepNext/>
        <w:spacing w:before="220" w:after="120"/>
      </w:pPr>
      <w:r>
        <w:rPr>
          <w:rFonts w:ascii="Noto Sans CJK JP" w:hAnsi="Noto Sans CJK JP" w:eastAsia="Noto Sans CJK JP" w:cs="Noto Sans CJK JP"/>
        </w:rPr>
        <w:t>5. Word・HTML・配布物を校正する / Proofread Word, HTML and the package</w:t>
      </w:r>
    </w:p>
    <w:p>
      <w:pPr>
        <w:spacing w:after="140"/>
      </w:pPr>
      <w:r>
        <w:rPr>
          <w:b w:val="0"/>
          <w:sz w:val="20"/>
          <w:rFonts w:ascii="Noto Sans CJK JP" w:hAnsi="Noto Sans CJK JP" w:eastAsia="Noto Sans CJK JP" w:cs="Noto Sans CJK JP"/>
        </w:rPr>
        <w:t>1. 現行教材の共通日英原稿とportable profileの手順を修正します。WordとHTMLを直接別々に編集せず、同じ原稿・artifact manifestから新しいstageへ生成します。</w:t>
      </w:r>
      <w:hyperlink r:id="rId9">
        <w:r>
          <w:rPr>
            <w:rStyle w:val="Hyperlink"/>
            <w:rFonts w:ascii="Noto Sans CJK JP" w:hAnsi="Noto Sans CJK JP" w:eastAsia="Noto Sans CJK JP" w:cs="Noto Sans CJK JP"/>
          </w:rPr>
          <w:t>Office build手順</w:t>
        </w:r>
      </w:hyperlink>
      <w:r>
        <w:rPr>
          <w:b w:val="0"/>
          <w:sz w:val="20"/>
          <w:rFonts w:ascii="Noto Sans CJK JP" w:hAnsi="Noto Sans CJK JP" w:eastAsia="Noto Sans CJK JP" w:cs="Noto Sans CJK JP"/>
        </w:rPr>
        <w:t>と</w:t>
      </w:r>
      <w:hyperlink r:id="rId10">
        <w:r>
          <w:rPr>
            <w:rStyle w:val="Hyperlink"/>
            <w:rFonts w:ascii="Noto Sans CJK JP" w:hAnsi="Noto Sans CJK JP" w:eastAsia="Noto Sans CJK JP" w:cs="Noto Sans CJK JP"/>
          </w:rPr>
          <w:t>HTML検証手順</w:t>
        </w:r>
      </w:hyperlink>
      <w:r>
        <w:rPr>
          <w:b w:val="0"/>
          <w:sz w:val="20"/>
          <w:rFonts w:ascii="Noto Sans CJK JP" w:hAnsi="Noto Sans CJK JP" w:eastAsia="Noto Sans CJK JP" w:cs="Noto Sans CJK JP"/>
        </w:rPr>
        <w:t>を使用します。</w:t>
      </w:r>
    </w:p>
    <w:p>
      <w:pPr>
        <w:spacing w:after="140"/>
      </w:pPr>
      <w:r>
        <w:rPr>
          <w:b w:val="0"/>
          <w:sz w:val="20"/>
          <w:rFonts w:ascii="Noto Sans CJK JP" w:hAnsi="Noto Sans CJK JP" w:eastAsia="Noto Sans CJK JP" w:cs="Noto Sans CJK JP"/>
        </w:rPr>
        <w:t>2. 両形式で、章・番号・完了条件・Item名・既定値・ソース選択・時刻・DAX説明・リンク・用語・既知の制約を照合します。履歴のスコアを現行版の結果に転用しません。参加者本文には実験履歴や私有評価の本文を入れず、別冊の本要約へ案内します。</w:t>
      </w:r>
    </w:p>
    <w:p>
      <w:pPr>
        <w:spacing w:after="140"/>
      </w:pPr>
      <w:r>
        <w:rPr>
          <w:b w:val="0"/>
          <w:sz w:val="20"/>
          <w:rFonts w:ascii="Noto Sans CJK JP" w:hAnsi="Noto Sans CJK JP" w:eastAsia="Noto Sans CJK JP" w:cs="Noto Sans CJK JP"/>
        </w:rPr>
        <w:t>3. DOCXの構造・段落・表・図・スタイル・改ページ、HTMLの日本語／英語切替・目次・リンク・図の表示を検証します。実際に行った描画確認と、未実施のMicrosoft Wordのページ／field更新は区別して記録します。</w:t>
      </w:r>
    </w:p>
    <w:p>
      <w:pPr>
        <w:spacing w:after="140"/>
      </w:pPr>
      <w:r>
        <w:rPr>
          <w:b w:val="0"/>
          <w:sz w:val="20"/>
          <w:rFonts w:ascii="Noto Sans CJK JP" w:hAnsi="Noto Sans CJK JP" w:eastAsia="Noto Sans CJK JP" w:cs="Noto Sans CJK JP"/>
        </w:rPr>
        <w:t>4. artifact manifest、Word／HTMLの対応ハッシュ、ZIP内容、SHA256SUMS、READMEのリンクを更新して同じ組合せを確認します。生成物のチェック成功はAI精度やnative全機能合格とは別です。</w:t>
      </w:r>
    </w:p>
    <w:p>
      <w:pPr>
        <w:spacing w:after="140"/>
      </w:pPr>
      <w:r>
        <w:rPr>
          <w:b w:val="0"/>
          <w:sz w:val="20"/>
          <w:rFonts w:ascii="Noto Sans CJK JP" w:hAnsi="Noto Sans CJK JP" w:eastAsia="Noto Sans CJK JP" w:cs="Noto Sans CJK JP"/>
        </w:rPr>
        <w:t>5. 私有パス・認証・Workspace／Item ID・ケース本文・期待解答・生traceが公開差分やZIPに含まれないことを確認します。ソース所有のスキーマ・DAX定義と、非公開評価入力は区別します。</w:t>
      </w:r>
    </w:p>
    <w:p>
      <w:pPr>
        <w:spacing w:after="140"/>
      </w:pPr>
      <w:r>
        <w:rPr>
          <w:b w:val="0"/>
          <w:sz w:val="20"/>
          <w:rFonts w:ascii="Noto Sans CJK JP" w:hAnsi="Noto Sans CJK JP" w:eastAsia="Noto Sans CJK JP" w:cs="Noto Sans CJK JP"/>
        </w:rPr>
        <w:t>6. 関連するコンパイラ・runtime・ドキュメント検証を実行し、差分をレビューしてGitHub mainへマージします。旧版の版付き資料と元の失敗記録は保持します。mainのcommit・配布物ハッシュ・検証範囲を記録します。</w:t>
      </w:r>
    </w:p>
    <w:p>
      <w:pPr>
        <w:spacing w:after="140"/>
      </w:pPr>
      <w:r>
        <w:rPr>
          <w:b w:val="0"/>
          <w:sz w:val="20"/>
          <w:rFonts w:ascii="Noto Sans CJK JP" w:hAnsi="Noto Sans CJK JP" w:eastAsia="Noto Sans CJK JP" w:cs="Noto Sans CJK JP"/>
        </w:rPr>
        <w:t xml:space="preserve">1. Edit the shared bilingual course source and portable-profile procedure. Generate Word and HTML together into a fresh stage from that source and artifact manifest, following the </w:t>
      </w:r>
      <w:hyperlink r:id="rId9">
        <w:r>
          <w:rPr>
            <w:rStyle w:val="Hyperlink"/>
            <w:rFonts w:ascii="Noto Sans CJK JP" w:hAnsi="Noto Sans CJK JP" w:eastAsia="Noto Sans CJK JP" w:cs="Noto Sans CJK JP"/>
          </w:rPr>
          <w:t>Office build</w:t>
        </w:r>
      </w:hyperlink>
      <w:r>
        <w:rPr>
          <w:b w:val="0"/>
          <w:sz w:val="20"/>
          <w:rFonts w:ascii="Noto Sans CJK JP" w:hAnsi="Noto Sans CJK JP" w:eastAsia="Noto Sans CJK JP" w:cs="Noto Sans CJK JP"/>
        </w:rPr>
        <w:t xml:space="preserve"> and </w:t>
      </w:r>
      <w:hyperlink r:id="rId10">
        <w:r>
          <w:rPr>
            <w:rStyle w:val="Hyperlink"/>
            <w:rFonts w:ascii="Noto Sans CJK JP" w:hAnsi="Noto Sans CJK JP" w:eastAsia="Noto Sans CJK JP" w:cs="Noto Sans CJK JP"/>
          </w:rPr>
          <w:t>HTML validation</w:t>
        </w:r>
      </w:hyperlink>
      <w:r>
        <w:rPr>
          <w:b w:val="0"/>
          <w:sz w:val="20"/>
          <w:rFonts w:ascii="Noto Sans CJK JP" w:hAnsi="Noto Sans CJK JP" w:eastAsia="Noto Sans CJK JP" w:cs="Noto Sans CJK JP"/>
        </w:rPr>
        <w:t xml:space="preserve"> procedures.</w:t>
      </w:r>
    </w:p>
    <w:p>
      <w:pPr>
        <w:spacing w:after="140"/>
      </w:pPr>
      <w:r>
        <w:rPr>
          <w:b w:val="0"/>
          <w:sz w:val="20"/>
          <w:rFonts w:ascii="Noto Sans CJK JP" w:hAnsi="Noto Sans CJK JP" w:eastAsia="Noto Sans CJK JP" w:cs="Noto Sans CJK JP"/>
        </w:rPr>
        <w:t>2. Reconcile chapters, numbering, completion checks, Item names, defaults, source selections, timestamps, DAX explanations, links, terminology and limitations in both formats. Do not relabel historical scores as current results. Keep experiment history and private evaluation text outside the participant body; link to this separate summary.</w:t>
      </w:r>
    </w:p>
    <w:p>
      <w:pPr>
        <w:spacing w:after="140"/>
      </w:pPr>
      <w:r>
        <w:rPr>
          <w:b w:val="0"/>
          <w:sz w:val="20"/>
          <w:rFonts w:ascii="Noto Sans CJK JP" w:hAnsi="Noto Sans CJK JP" w:eastAsia="Noto Sans CJK JP" w:cs="Noto Sans CJK JP"/>
        </w:rPr>
        <w:t>3. Validate DOCX structure, paragraphs, tables, figures, styles and page breaks; validate HTML language switching, contents, links and image display. Record actual render checks separately from any unperformed Microsoft Word page/field refresh.</w:t>
      </w:r>
    </w:p>
    <w:p>
      <w:pPr>
        <w:spacing w:after="140"/>
      </w:pPr>
      <w:r>
        <w:rPr>
          <w:b w:val="0"/>
          <w:sz w:val="20"/>
          <w:rFonts w:ascii="Noto Sans CJK JP" w:hAnsi="Noto Sans CJK JP" w:eastAsia="Noto Sans CJK JP" w:cs="Noto Sans CJK JP"/>
        </w:rPr>
        <w:t>4. Update and reconcile the artifact manifest, paired Word/HTML hashes, ZIP contents, SHA256SUMS and README links. Artifact validation is separate from AI accuracy and acceptance of all native features.</w:t>
      </w:r>
    </w:p>
    <w:p>
      <w:pPr>
        <w:spacing w:after="140"/>
      </w:pPr>
      <w:r>
        <w:rPr>
          <w:b w:val="0"/>
          <w:sz w:val="20"/>
          <w:rFonts w:ascii="Noto Sans CJK JP" w:hAnsi="Noto Sans CJK JP" w:eastAsia="Noto Sans CJK JP" w:cs="Noto Sans CJK JP"/>
        </w:rPr>
        <w:t>5. Check public diffs and ZIP contents for private paths, authentication information, Workspace/Item IDs, case text, expected answers and raw traces. Distinguish source-owned schemas and DAX definitions from private evaluation inputs.</w:t>
      </w:r>
    </w:p>
    <w:p>
      <w:pPr>
        <w:spacing w:after="140"/>
      </w:pPr>
      <w:r>
        <w:rPr>
          <w:b w:val="0"/>
          <w:sz w:val="20"/>
          <w:rFonts w:ascii="Noto Sans CJK JP" w:hAnsi="Noto Sans CJK JP" w:eastAsia="Noto Sans CJK JP" w:cs="Noto Sans CJK JP"/>
        </w:rPr>
        <w:t>6. Run relevant compiler, runtime and document validation, review the diff, and merge GitHub main. Preserve versioned historical materials and original failures. Record the main commit, package hashes and validation scope.</w:t>
      </w:r>
    </w:p>
    <w:p>
      <w:pPr>
        <w:pStyle w:val="Heading2"/>
        <w:keepNext/>
        <w:spacing w:before="220" w:after="120"/>
      </w:pPr>
      <w:r>
        <w:rPr>
          <w:rFonts w:ascii="Noto Sans CJK JP" w:hAnsi="Noto Sans CJK JP" w:eastAsia="Noto Sans CJK JP" w:cs="Noto Sans CJK JP"/>
        </w:rPr>
        <w:t>完了の記録 / Completion record</w:t>
      </w:r>
    </w:p>
    <w:p>
      <w:pPr>
        <w:spacing w:after="140"/>
      </w:pPr>
      <w:r>
        <w:rPr>
          <w:b w:val="0"/>
          <w:sz w:val="20"/>
          <w:rFonts w:ascii="Noto Sans CJK JP" w:hAnsi="Noto Sans CJK JP" w:eastAsia="Noto Sans CJK JP" w:cs="Noto Sans CJK JP"/>
        </w:rPr>
        <w:t>記録は「どの設定を、どの母集団・何問・何条件で、どの取得条件と採点方法により確認したか」を含めます。R11の限定4/4を全体スコアに広げず、新しいWorkspaceでは実回答で同じ範囲を再確認します。全体の精度を主張する場合は、最新の公開定義を固定して全体回帰を実施し、全失敗と取得制約を残します。</w:t>
      </w:r>
    </w:p>
    <w:p>
      <w:pPr>
        <w:spacing w:after="140"/>
      </w:pPr>
      <w:r>
        <w:rPr>
          <w:b w:val="0"/>
          <w:sz w:val="20"/>
          <w:rFonts w:ascii="Noto Sans CJK JP" w:hAnsi="Noto Sans CJK JP" w:eastAsia="Noto Sans CJK JP" w:cs="Noto Sans CJK JP"/>
        </w:rPr>
        <w:t>Record the exact configuration, population, question and condition counts, collection settings and review method. Do not generalize R11's targeted four-of-four result into an overall score. Revalidate the same scope with actual answers in a new Workspace. An overall-quality claim requires a full regression against the frozen latest published definition, retaining every failure and collection limitation.</w:t>
      </w:r>
    </w:p>
    <w:p>
      <w:r>
        <w:rPr>
          <w:b w:val="0"/>
          <w:sz w:val="16"/>
          <w:rFonts w:ascii="Noto Sans CJK JP" w:hAnsi="Noto Sans CJK JP" w:eastAsia="Noto Sans CJK JP" w:cs="Noto Sans CJK JP"/>
        </w:rPr>
        <w:t>Source manifest SHA-256: 6870f4ce2963bca0127dbfb96cb5737f78cdecd851726a377eef6d199f9e3d3c</w:t>
      </w:r>
    </w:p>
    <w:sectPr>
      <w:headerReference w:type="default" r:id="rIdHeader1"/>
      <w:footerReference w:type="default" r:id="rIdFooter1"/>
      <w:headerReference w:type="first" r:id="rIdHeaderCover"/>
      <w:footerReference w:type="first" r:id="rIdFooterCover"/>
      <w:pgSz w:w="11906" w:h="16838"/>
      <w:pgMar w:top="1134" w:right="1134" w:bottom="1020" w:left="1134" w:header="454" w:footer="454" w:gutter="0"/>
      <w:titlePg/>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0001" w14:textId="10000002" w:rsidR="00A17E3C" w:rsidRDefault="00A17E3C">
      <w:pPr>
        <w:spacing w:after="0" w:line="240" w:lineRule="auto"/>
      </w:pPr>
      <w:r>
        <w:separator/>
      </w:r>
    </w:p>
  </w:endnote>
  <w:endnote w:type="continuationSeparator" w:id="0">
    <w:p w14:paraId="10000003" w14:textId="10000004" w:rsidR="00A17E3C" w:rsidRDefault="00A17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er2.xml><?xml version="1.0" encoding="utf-8"?>
<w:ftr xmlns:r="http://schemas.openxmlformats.org/officeDocument/2006/relationships" xmlns:w="http://schemas.openxmlformats.org/wordprocessingml/2006/main">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0005" w14:textId="10000006" w:rsidR="00A17E3C" w:rsidRDefault="00A17E3C">
      <w:pPr>
        <w:spacing w:after="0" w:line="240" w:lineRule="auto"/>
      </w:pPr>
      <w:r>
        <w:separator/>
      </w:r>
    </w:p>
  </w:footnote>
  <w:footnote w:type="continuationSeparator" w:id="0">
    <w:p w14:paraId="10000007" w14:textId="10000008" w:rsidR="00A17E3C" w:rsidRDefault="00A17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header2.xml><?xml version="1.0" encoding="utf-8"?>
<w:hdr xmlns:r="http://schemas.openxmlformats.org/officeDocument/2006/relationships" xmlns:w="http://schemas.openxmlformats.org/wordprocessingml/2006/main">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Yu Gothic UI" w:eastAsia="Yu Gothic UI" w:hAnsi="Yu Gothic UI" w:cs="Yu Gothic UI"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Yu Gothic UI" w:eastAsia="Yu Gothic UI" w:hAnsi="Yu Gothic UI" w:cs="Yu Gothic UI"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Yu Gothic UI" w:eastAsia="Yu Gothic UI" w:hAnsi="Yu Gothic UI" w:cs="Yu Gothic UI"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Yu Gothic UI" w:eastAsia="Yu Gothic UI" w:hAnsi="Yu Gothic UI" w:cs="Yu Gothic UI" w:hint="default"/>
      </w:rPr>
    </w:lvl>
  </w:abstractNum>
  <w:abstractNum w:abstractNumId="9" w15:restartNumberingAfterBreak="0">
    <w:nsid w:val="376E2885"/>
    <w:multiLevelType w:val="multilevel"/>
    <w:tmpl w:val="7CD0B2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Yu Gothic UI" w:eastAsia="Yu Gothic UI" w:hAnsi="Yu Gothic UI" w:cs="Yu Gothic UI"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903C87"/>
    <w:multiLevelType w:val="hybridMultilevel"/>
    <w:tmpl w:val="AAB21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0000002">
    <w:abstractNumId w:val="8"/>
  </w:num>
  <w:num w:numId="2" w16cid:durableId="1000000003">
    <w:abstractNumId w:val="6"/>
  </w:num>
  <w:num w:numId="3" w16cid:durableId="1000000004">
    <w:abstractNumId w:val="5"/>
  </w:num>
  <w:num w:numId="4" w16cid:durableId="1000000005">
    <w:abstractNumId w:val="4"/>
  </w:num>
  <w:num w:numId="5" w16cid:durableId="1000000006">
    <w:abstractNumId w:val="7"/>
  </w:num>
  <w:num w:numId="6" w16cid:durableId="1000000007">
    <w:abstractNumId w:val="3"/>
  </w:num>
  <w:num w:numId="7" w16cid:durableId="1000000008">
    <w:abstractNumId w:val="2"/>
  </w:num>
  <w:num w:numId="8" w16cid:durableId="1000000009">
    <w:abstractNumId w:val="1"/>
  </w:num>
  <w:num w:numId="9" w16cid:durableId="1000000010">
    <w:abstractNumId w:val="0"/>
  </w:num>
  <w:num w:numId="10" w16cid:durableId="1000000011">
    <w:abstractNumId w:val="10"/>
  </w:num>
  <w:num w:numId="11" w16cid:durableId="1000000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compressPunctuation"/>
  <w:strictFirstAndLastChars w:val="tru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3C"/>
    <w:rsid w:val="00A17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0A17E3C"/>
  <w14:defaultImageDpi w14:val="300"/>
  <w15:docId w15:val="{DF0D9BDA-F63A-4AC6-B437-9B88572C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UI" w:eastAsia="Yu Gothic UI" w:hAnsi="Yu Gothic UI" w:cs="Yu Gothic UI"/>
        <w:sz w:val="22"/>
        <w:szCs w:val="22"/>
        <w:lang w:val="en-US" w:eastAsia="ja-JP" w:bidi="ar-SA"/>
      </w:rPr>
    </w:rPrDefault>
    <w:pPrDefault>
      <w:pPr>
        <w:kinsoku w:val="true"/>
        <w:wordWrap w:val="true"/>
        <w:overflowPunct w:val="true"/>
        <w:topLinePunct w:val="false"/>
        <w:autoSpaceDE w:val="true"/>
        <w:autoSpaceDN w:val="true"/>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3" w:lineRule="auto"/>
    </w:pPr>
    <w:rPr>
      <w:rFonts w:ascii="Noto Sans CJK JP" w:hAnsi="Noto Sans CJK JP" w:eastAsia="Noto Sans CJK JP" w:cs="Noto Sans CJK JP"/>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Noto Sans CJK JP" w:hAnsi="Noto Sans CJK JP" w:eastAsia="Noto Sans CJK JP" w:cs="Noto Sans CJK JP"/>
      <w:b/>
      <w:bCs/>
      <w:color w:val="174C88"/>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Noto Sans CJK JP" w:hAnsi="Noto Sans CJK JP" w:eastAsia="Noto Sans CJK JP" w:cs="Noto Sans CJK JP"/>
      <w:b/>
      <w:bCs/>
      <w:color w:val="174C88"/>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JP" w:hAnsi="Noto Sans CJK JP" w:eastAsia="Noto Sans CJK JP" w:cs="Noto Sans CJK JP"/>
      <w:b/>
      <w:bCs/>
      <w:color w:val="0F6CBD"/>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Noto Sans CJK JP" w:hAnsi="Noto Sans CJK JP" w:eastAsia="Noto Sans CJK JP" w:cs="Noto Sans CJK JP"/>
      <w:b/>
      <w:bCs/>
      <w:i/>
      <w:iCs/>
      <w:color w:val="4B55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oto Sans CJK JP" w:hAnsi="Noto Sans CJK JP" w:eastAsia="Noto Sans CJK JP" w:cs="Noto Sans CJK JP"/>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oto Sans CJK JP" w:hAnsi="Noto Sans CJK JP" w:eastAsia="Noto Sans CJK JP" w:cs="Noto Sans CJK JP"/>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oto Sans CJK JP" w:hAnsi="Noto Sans CJK JP" w:eastAsia="Noto Sans CJK JP" w:cs="Noto Sans CJK JP"/>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oto Sans CJK JP" w:hAnsi="Noto Sans CJK JP" w:eastAsia="Noto Sans CJK JP" w:cs="Noto Sans CJK JP"/>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oto Sans CJK JP" w:hAnsi="Noto Sans CJK JP" w:eastAsia="Noto Sans CJK JP" w:cs="Noto Sans CJK JP"/>
      <w:i/>
      <w:iCs/>
      <w:color w:val="404040" w:themeColor="text1" w:themeTint="BF"/>
      <w:sz w:val="20"/>
      <w:szCs w:val="20"/>
    </w:rPr>
  </w:style>
  <w:style w:type="character" w:default="1" w:styleId="DefaultParagraphFont">
    <w:name w:val="Default Paragraph Font"/>
    <w:uiPriority w:val="1"/>
    <w:semiHidden/>
    <w:unhideWhenUsed/>
    <w:rPr>
      <w:rFonts w:ascii="Noto Sans CJK JP" w:hAnsi="Noto Sans CJK JP" w:eastAsia="Noto Sans CJK JP" w:cs="Noto Sans CJK JP"/>
    </w:rPr>
  </w:style>
  <w:style w:type="table" w:default="1" w:styleId="TableNormal">
    <w:name w:val="Normal Table"/>
    <w:uiPriority w:val="99"/>
    <w:semiHidden/>
    <w:unhideWhenUsed/>
    <w:rPr>
      <w:rFonts w:ascii="Noto Sans CJK JP" w:hAnsi="Noto Sans CJK JP" w:eastAsia="Noto Sans CJK JP" w:cs="Noto Sans CJK JP"/>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JP" w:hAnsi="Noto Sans CJK JP" w:eastAsia="Noto Sans CJK JP" w:cs="Noto Sans CJK JP"/>
    </w:rPr>
  </w:style>
  <w:style w:type="character" w:customStyle="1" w:styleId="HeaderChar">
    <w:name w:val="Header Char"/>
    <w:basedOn w:val="DefaultParagraphFont"/>
    <w:link w:val="Header"/>
    <w:uiPriority w:val="99"/>
    <w:rsid w:val="00E618BF"/>
    <w:rPr>
      <w:rFonts w:ascii="Noto Sans CJK JP" w:eastAsia="Noto Sans CJK JP" w:hAnsi="Noto Sans CJK JP" w:cs="Noto Sans CJK JP"/>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JP" w:hAnsi="Noto Sans CJK JP" w:eastAsia="Noto Sans CJK JP" w:cs="Noto Sans CJK JP"/>
    </w:rPr>
  </w:style>
  <w:style w:type="character" w:customStyle="1" w:styleId="FooterChar">
    <w:name w:val="Footer Char"/>
    <w:basedOn w:val="DefaultParagraphFont"/>
    <w:link w:val="Footer"/>
    <w:uiPriority w:val="99"/>
    <w:rsid w:val="00E618BF"/>
    <w:rPr>
      <w:rFonts w:ascii="Noto Sans CJK JP" w:eastAsia="Noto Sans CJK JP" w:hAnsi="Noto Sans CJK JP" w:cs="Noto Sans CJK JP"/>
    </w:rPr>
  </w:style>
  <w:style w:type="paragraph" w:styleId="NoSpacing">
    <w:name w:val="No Spacing"/>
    <w:uiPriority w:val="1"/>
    <w:qFormat/>
    <w:rsid w:val="00FC693F"/>
    <w:pPr>
      <w:spacing w:after="0" w:line="240" w:lineRule="auto"/>
    </w:pPr>
    <w:rPr>
      <w:rFonts w:ascii="Noto Sans CJK JP" w:hAnsi="Noto Sans CJK JP" w:eastAsia="Noto Sans CJK JP" w:cs="Noto Sans CJK JP"/>
    </w:rPr>
  </w:style>
  <w:style w:type="character" w:customStyle="1" w:styleId="Heading1Char">
    <w:name w:val="Heading 1 Char"/>
    <w:basedOn w:val="DefaultParagraphFont"/>
    <w:link w:val="Heading1"/>
    <w:uiPriority w:val="9"/>
    <w:rsid w:val="00FC693F"/>
    <w:rPr>
      <w:rFonts w:ascii="Noto Sans CJK JP" w:eastAsia="Noto Sans CJK JP" w:hAnsi="Noto Sans CJK JP" w:cs="Noto Sans CJK JP"/>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oto Sans CJK JP" w:eastAsia="Noto Sans CJK JP" w:hAnsi="Noto Sans CJK JP" w:cs="Noto Sans CJK JP"/>
      <w:b/>
      <w:bCs/>
      <w:color w:val="4F81BD" w:themeColor="accent1"/>
      <w:sz w:val="26"/>
      <w:szCs w:val="26"/>
    </w:rPr>
  </w:style>
  <w:style w:type="character" w:customStyle="1" w:styleId="Heading3Char">
    <w:name w:val="Heading 3 Char"/>
    <w:basedOn w:val="DefaultParagraphFont"/>
    <w:link w:val="Heading3"/>
    <w:uiPriority w:val="9"/>
    <w:rsid w:val="00FC693F"/>
    <w:rPr>
      <w:rFonts w:ascii="Noto Sans CJK JP" w:eastAsia="Noto Sans CJK JP" w:hAnsi="Noto Sans CJK JP" w:cs="Noto Sans CJK JP"/>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Noto Sans CJK JP" w:hAnsi="Noto Sans CJK JP" w:eastAsia="Noto Sans CJK JP" w:cs="Noto Sans CJK JP"/>
      <w:b/>
      <w:color w:val="174C88"/>
      <w:spacing w:val="5"/>
      <w:kern w:val="28"/>
      <w:sz w:val="60"/>
      <w:szCs w:val="52"/>
    </w:rPr>
  </w:style>
  <w:style w:type="character" w:customStyle="1" w:styleId="TitleChar">
    <w:name w:val="Title Char"/>
    <w:basedOn w:val="DefaultParagraphFont"/>
    <w:link w:val="Title"/>
    <w:uiPriority w:val="10"/>
    <w:rsid w:val="00FC693F"/>
    <w:rPr>
      <w:rFonts w:ascii="Noto Sans CJK JP" w:eastAsia="Noto Sans CJK JP" w:hAnsi="Noto Sans CJK JP" w:cs="Noto Sans CJK JP"/>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oto Sans CJK JP" w:hAnsi="Noto Sans CJK JP" w:eastAsia="Noto Sans CJK JP" w:cs="Noto Sans CJK JP"/>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Noto Sans CJK JP" w:eastAsia="Noto Sans CJK JP" w:hAnsi="Noto Sans CJK JP" w:cs="Noto Sans CJK JP"/>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cs="Noto Sans CJK JP"/>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cs="Noto Sans CJK JP"/>
    </w:rPr>
  </w:style>
  <w:style w:type="character" w:customStyle="1" w:styleId="BodyTextChar">
    <w:name w:val="Body Text Char"/>
    <w:basedOn w:val="DefaultParagraphFont"/>
    <w:link w:val="BodyText"/>
    <w:uiPriority w:val="99"/>
    <w:rsid w:val="00AA1D8D"/>
    <w:rPr>
      <w:rFonts w:ascii="Noto Sans CJK JP" w:eastAsia="Noto Sans CJK JP" w:hAnsi="Noto Sans CJK JP" w:cs="Noto Sans CJK JP"/>
    </w:rPr>
  </w:style>
  <w:style w:type="paragraph" w:styleId="BodyText2">
    <w:name w:val="Body Text 2"/>
    <w:basedOn w:val="Normal"/>
    <w:link w:val="BodyText2Char"/>
    <w:uiPriority w:val="99"/>
    <w:unhideWhenUsed/>
    <w:rsid w:val="00AA1D8D"/>
    <w:pPr>
      <w:spacing w:after="120" w:line="480" w:lineRule="auto"/>
    </w:pPr>
    <w:rPr>
      <w:rFonts w:ascii="Noto Sans CJK JP" w:hAnsi="Noto Sans CJK JP" w:eastAsia="Noto Sans CJK JP" w:cs="Noto Sans CJK JP"/>
    </w:rPr>
  </w:style>
  <w:style w:type="character" w:customStyle="1" w:styleId="BodyText2Char">
    <w:name w:val="Body Text 2 Char"/>
    <w:basedOn w:val="DefaultParagraphFont"/>
    <w:link w:val="BodyText2"/>
    <w:uiPriority w:val="99"/>
    <w:rsid w:val="00AA1D8D"/>
    <w:rPr>
      <w:rFonts w:ascii="Noto Sans CJK JP" w:eastAsia="Noto Sans CJK JP" w:hAnsi="Noto Sans CJK JP" w:cs="Noto Sans CJK JP"/>
    </w:rPr>
  </w:style>
  <w:style w:type="paragraph" w:styleId="BodyText3">
    <w:name w:val="Body Text 3"/>
    <w:basedOn w:val="Normal"/>
    <w:link w:val="BodyText3Char"/>
    <w:uiPriority w:val="99"/>
    <w:unhideWhenUsed/>
    <w:rsid w:val="00AA1D8D"/>
    <w:pPr>
      <w:spacing w:after="120"/>
    </w:pPr>
    <w:rPr>
      <w:rFonts w:ascii="Noto Sans CJK JP" w:hAnsi="Noto Sans CJK JP" w:eastAsia="Noto Sans CJK JP" w:cs="Noto Sans CJK JP"/>
      <w:sz w:val="16"/>
      <w:szCs w:val="16"/>
    </w:rPr>
  </w:style>
  <w:style w:type="character" w:customStyle="1" w:styleId="BodyText3Char">
    <w:name w:val="Body Text 3 Char"/>
    <w:basedOn w:val="DefaultParagraphFont"/>
    <w:link w:val="BodyText3"/>
    <w:uiPriority w:val="99"/>
    <w:rsid w:val="00AA1D8D"/>
    <w:rPr>
      <w:rFonts w:ascii="Noto Sans CJK JP" w:eastAsia="Noto Sans CJK JP" w:hAnsi="Noto Sans CJK JP" w:cs="Noto Sans CJK JP"/>
      <w:sz w:val="16"/>
      <w:szCs w:val="16"/>
    </w:rPr>
  </w:style>
  <w:style w:type="paragraph" w:styleId="List">
    <w:name w:val="List"/>
    <w:basedOn w:val="Normal"/>
    <w:uiPriority w:val="99"/>
    <w:unhideWhenUsed/>
    <w:rsid w:val="00AA1D8D"/>
    <w:pPr>
      <w:ind w:left="360" w:hanging="360"/>
      <w:contextualSpacing/>
    </w:pPr>
    <w:rPr>
      <w:rFonts w:ascii="Noto Sans CJK JP" w:hAnsi="Noto Sans CJK JP" w:eastAsia="Noto Sans CJK JP" w:cs="Noto Sans CJK JP"/>
    </w:rPr>
  </w:style>
  <w:style w:type="paragraph" w:styleId="List2">
    <w:name w:val="List 2"/>
    <w:basedOn w:val="Normal"/>
    <w:uiPriority w:val="99"/>
    <w:unhideWhenUsed/>
    <w:rsid w:val="00326F90"/>
    <w:pPr>
      <w:ind w:left="720" w:hanging="360"/>
      <w:contextualSpacing/>
    </w:pPr>
    <w:rPr>
      <w:rFonts w:ascii="Noto Sans CJK JP" w:hAnsi="Noto Sans CJK JP" w:eastAsia="Noto Sans CJK JP" w:cs="Noto Sans CJK JP"/>
    </w:rPr>
  </w:style>
  <w:style w:type="paragraph" w:styleId="List3">
    <w:name w:val="List 3"/>
    <w:basedOn w:val="Normal"/>
    <w:uiPriority w:val="99"/>
    <w:unhideWhenUsed/>
    <w:rsid w:val="00326F90"/>
    <w:pPr>
      <w:ind w:left="1080" w:hanging="360"/>
      <w:contextualSpacing/>
    </w:pPr>
    <w:rPr>
      <w:rFonts w:ascii="Noto Sans CJK JP" w:hAnsi="Noto Sans CJK JP" w:eastAsia="Noto Sans CJK JP" w:cs="Noto Sans CJK JP"/>
    </w:r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cs="Noto Sans CJK JP"/>
    </w:rPr>
  </w:style>
  <w:style w:type="paragraph" w:styleId="ListBullet2">
    <w:name w:val="List Bullet 2"/>
    <w:basedOn w:val="Normal"/>
    <w:uiPriority w:val="99"/>
    <w:unhideWhenUsed/>
    <w:rsid w:val="00326F90"/>
    <w:pPr>
      <w:numPr>
        <w:numId w:val="2"/>
      </w:numPr>
      <w:contextualSpacing/>
    </w:pPr>
    <w:rPr>
      <w:rFonts w:ascii="Noto Sans CJK JP" w:hAnsi="Noto Sans CJK JP" w:eastAsia="Noto Sans CJK JP" w:cs="Noto Sans CJK JP"/>
    </w:rPr>
  </w:style>
  <w:style w:type="paragraph" w:styleId="ListBullet3">
    <w:name w:val="List Bullet 3"/>
    <w:basedOn w:val="Normal"/>
    <w:uiPriority w:val="99"/>
    <w:unhideWhenUsed/>
    <w:rsid w:val="00326F90"/>
    <w:pPr>
      <w:numPr>
        <w:numId w:val="3"/>
      </w:numPr>
      <w:contextualSpacing/>
    </w:pPr>
    <w:rPr>
      <w:rFonts w:ascii="Noto Sans CJK JP" w:hAnsi="Noto Sans CJK JP" w:eastAsia="Noto Sans CJK JP" w:cs="Noto Sans CJK JP"/>
    </w:r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cs="Noto Sans CJK JP"/>
    </w:rPr>
  </w:style>
  <w:style w:type="paragraph" w:styleId="ListNumber2">
    <w:name w:val="List Number 2"/>
    <w:basedOn w:val="Normal"/>
    <w:uiPriority w:val="99"/>
    <w:unhideWhenUsed/>
    <w:rsid w:val="0029639D"/>
    <w:pPr>
      <w:numPr>
        <w:numId w:val="6"/>
      </w:numPr>
      <w:contextualSpacing/>
    </w:pPr>
    <w:rPr>
      <w:rFonts w:ascii="Noto Sans CJK JP" w:hAnsi="Noto Sans CJK JP" w:eastAsia="Noto Sans CJK JP" w:cs="Noto Sans CJK JP"/>
    </w:rPr>
  </w:style>
  <w:style w:type="paragraph" w:styleId="ListNumber3">
    <w:name w:val="List Number 3"/>
    <w:basedOn w:val="Normal"/>
    <w:uiPriority w:val="99"/>
    <w:unhideWhenUsed/>
    <w:rsid w:val="0029639D"/>
    <w:pPr>
      <w:numPr>
        <w:numId w:val="7"/>
      </w:numPr>
      <w:contextualSpacing/>
    </w:pPr>
    <w:rPr>
      <w:rFonts w:ascii="Noto Sans CJK JP" w:hAnsi="Noto Sans CJK JP" w:eastAsia="Noto Sans CJK JP" w:cs="Noto Sans CJK JP"/>
    </w:rPr>
  </w:style>
  <w:style w:type="paragraph" w:styleId="ListContinue">
    <w:name w:val="List Continue"/>
    <w:basedOn w:val="Normal"/>
    <w:uiPriority w:val="99"/>
    <w:unhideWhenUsed/>
    <w:rsid w:val="0029639D"/>
    <w:pPr>
      <w:spacing w:after="120"/>
      <w:ind w:left="360"/>
      <w:contextualSpacing/>
    </w:pPr>
    <w:rPr>
      <w:rFonts w:ascii="Noto Sans CJK JP" w:hAnsi="Noto Sans CJK JP" w:eastAsia="Noto Sans CJK JP" w:cs="Noto Sans CJK JP"/>
    </w:rPr>
  </w:style>
  <w:style w:type="paragraph" w:styleId="ListContinue2">
    <w:name w:val="List Continue 2"/>
    <w:basedOn w:val="Normal"/>
    <w:uiPriority w:val="99"/>
    <w:unhideWhenUsed/>
    <w:rsid w:val="0029639D"/>
    <w:pPr>
      <w:spacing w:after="120"/>
      <w:ind w:left="720"/>
      <w:contextualSpacing/>
    </w:pPr>
    <w:rPr>
      <w:rFonts w:ascii="Noto Sans CJK JP" w:hAnsi="Noto Sans CJK JP" w:eastAsia="Noto Sans CJK JP" w:cs="Noto Sans CJK JP"/>
    </w:rPr>
  </w:style>
  <w:style w:type="paragraph" w:styleId="ListContinue3">
    <w:name w:val="List Continue 3"/>
    <w:basedOn w:val="Normal"/>
    <w:uiPriority w:val="99"/>
    <w:unhideWhenUsed/>
    <w:rsid w:val="0029639D"/>
    <w:pPr>
      <w:spacing w:after="120"/>
      <w:ind w:left="1080"/>
      <w:contextualSpacing/>
    </w:pPr>
    <w:rPr>
      <w:rFonts w:ascii="Noto Sans CJK JP" w:hAnsi="Noto Sans CJK JP" w:eastAsia="Noto Sans CJK JP" w:cs="Noto Sans CJK JP"/>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JP" w:hAnsi="Noto Sans CJK JP" w:eastAsia="Noto Sans CJK JP" w:cs="Noto Sans CJK JP"/>
      <w:sz w:val="20"/>
      <w:szCs w:val="20"/>
    </w:rPr>
  </w:style>
  <w:style w:type="character" w:customStyle="1" w:styleId="MacroTextChar">
    <w:name w:val="Macro Text Char"/>
    <w:basedOn w:val="DefaultParagraphFont"/>
    <w:link w:val="MacroText"/>
    <w:uiPriority w:val="99"/>
    <w:rsid w:val="0029639D"/>
    <w:rPr>
      <w:rFonts w:ascii="Noto Sans CJK JP" w:eastAsia="Noto Sans CJK JP" w:hAnsi="Noto Sans CJK JP" w:cs="Noto Sans CJK JP"/>
      <w:sz w:val="20"/>
      <w:szCs w:val="20"/>
    </w:rPr>
  </w:style>
  <w:style w:type="paragraph" w:styleId="Quote">
    <w:name w:val="Quote"/>
    <w:basedOn w:val="Normal"/>
    <w:next w:val="Normal"/>
    <w:link w:val="QuoteChar"/>
    <w:uiPriority w:val="29"/>
    <w:qFormat/>
    <w:rsid w:val="00FC693F"/>
    <w:rPr>
      <w:rFonts w:ascii="Noto Sans CJK JP" w:hAnsi="Noto Sans CJK JP" w:eastAsia="Noto Sans CJK JP" w:cs="Noto Sans CJK JP"/>
      <w:i/>
      <w:iCs/>
      <w:color w:val="000000" w:themeColor="text1"/>
    </w:rPr>
  </w:style>
  <w:style w:type="character" w:customStyle="1" w:styleId="QuoteChar">
    <w:name w:val="Quote Char"/>
    <w:basedOn w:val="DefaultParagraphFont"/>
    <w:link w:val="Quote"/>
    <w:uiPriority w:val="29"/>
    <w:rsid w:val="00FC693F"/>
    <w:rPr>
      <w:rFonts w:ascii="Noto Sans CJK JP" w:eastAsia="Noto Sans CJK JP" w:hAnsi="Noto Sans CJK JP" w:cs="Noto Sans CJK JP"/>
      <w:i/>
      <w:iCs/>
      <w:color w:val="000000" w:themeColor="text1"/>
    </w:rPr>
  </w:style>
  <w:style w:type="character" w:customStyle="1" w:styleId="Heading4Char">
    <w:name w:val="Heading 4 Char"/>
    <w:basedOn w:val="DefaultParagraphFont"/>
    <w:link w:val="Heading4"/>
    <w:uiPriority w:val="9"/>
    <w:rsid w:val="00FC693F"/>
    <w:rPr>
      <w:rFonts w:ascii="Noto Sans CJK JP" w:eastAsia="Noto Sans CJK JP" w:hAnsi="Noto Sans CJK JP" w:cs="Noto Sans CJK JP"/>
      <w:b/>
      <w:bCs/>
      <w:i/>
      <w:iCs/>
      <w:color w:val="4F81BD" w:themeColor="accent1"/>
    </w:rPr>
  </w:style>
  <w:style w:type="character" w:customStyle="1" w:styleId="Heading5Char">
    <w:name w:val="Heading 5 Char"/>
    <w:basedOn w:val="DefaultParagraphFont"/>
    <w:link w:val="Heading5"/>
    <w:uiPriority w:val="9"/>
    <w:semiHidden/>
    <w:rsid w:val="00FC693F"/>
    <w:rPr>
      <w:rFonts w:ascii="Noto Sans CJK JP" w:eastAsia="Noto Sans CJK JP" w:hAnsi="Noto Sans CJK JP" w:cs="Noto Sans CJK JP"/>
      <w:color w:val="243F60" w:themeColor="accent1" w:themeShade="7F"/>
    </w:rPr>
  </w:style>
  <w:style w:type="character" w:customStyle="1" w:styleId="Heading6Char">
    <w:name w:val="Heading 6 Char"/>
    <w:basedOn w:val="DefaultParagraphFont"/>
    <w:link w:val="Heading6"/>
    <w:uiPriority w:val="9"/>
    <w:semiHidden/>
    <w:rsid w:val="00FC693F"/>
    <w:rPr>
      <w:rFonts w:ascii="Noto Sans CJK JP" w:eastAsia="Noto Sans CJK JP" w:hAnsi="Noto Sans CJK JP" w:cs="Noto Sans CJK JP"/>
      <w:i/>
      <w:iCs/>
      <w:color w:val="243F60" w:themeColor="accent1" w:themeShade="7F"/>
    </w:rPr>
  </w:style>
  <w:style w:type="character" w:customStyle="1" w:styleId="Heading7Char">
    <w:name w:val="Heading 7 Char"/>
    <w:basedOn w:val="DefaultParagraphFont"/>
    <w:link w:val="Heading7"/>
    <w:uiPriority w:val="9"/>
    <w:semiHidden/>
    <w:rsid w:val="00FC693F"/>
    <w:rPr>
      <w:rFonts w:ascii="Noto Sans CJK JP" w:eastAsia="Noto Sans CJK JP" w:hAnsi="Noto Sans CJK JP" w:cs="Noto Sans CJK JP"/>
      <w:i/>
      <w:iCs/>
      <w:color w:val="404040" w:themeColor="text1" w:themeTint="BF"/>
    </w:rPr>
  </w:style>
  <w:style w:type="character" w:customStyle="1" w:styleId="Heading8Char">
    <w:name w:val="Heading 8 Char"/>
    <w:basedOn w:val="DefaultParagraphFont"/>
    <w:link w:val="Heading8"/>
    <w:uiPriority w:val="9"/>
    <w:semiHidden/>
    <w:rsid w:val="00FC693F"/>
    <w:rPr>
      <w:rFonts w:ascii="Noto Sans CJK JP" w:eastAsia="Noto Sans CJK JP" w:hAnsi="Noto Sans CJK JP" w:cs="Noto Sans CJK JP"/>
      <w:color w:val="4F81BD" w:themeColor="accent1"/>
      <w:sz w:val="20"/>
      <w:szCs w:val="20"/>
    </w:rPr>
  </w:style>
  <w:style w:type="character" w:customStyle="1" w:styleId="Heading9Char">
    <w:name w:val="Heading 9 Char"/>
    <w:basedOn w:val="DefaultParagraphFont"/>
    <w:link w:val="Heading9"/>
    <w:uiPriority w:val="9"/>
    <w:semiHidden/>
    <w:rsid w:val="00FC693F"/>
    <w:rPr>
      <w:rFonts w:ascii="Noto Sans CJK JP" w:eastAsia="Noto Sans CJK JP" w:hAnsi="Noto Sans CJK JP" w:cs="Noto Sans CJK JP"/>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JP" w:hAnsi="Noto Sans CJK JP" w:eastAsia="Noto Sans CJK JP" w:cs="Noto Sans CJK JP"/>
      <w:b/>
      <w:bCs/>
      <w:color w:val="5B6674"/>
      <w:sz w:val="18"/>
      <w:szCs w:val="18"/>
    </w:rPr>
  </w:style>
  <w:style w:type="character" w:styleId="Strong">
    <w:name w:val="Strong"/>
    <w:basedOn w:val="DefaultParagraphFont"/>
    <w:uiPriority w:val="22"/>
    <w:qFormat/>
    <w:rsid w:val="00FC693F"/>
    <w:rPr>
      <w:rFonts w:ascii="Noto Sans CJK JP" w:eastAsia="Noto Sans CJK JP" w:hAnsi="Noto Sans CJK JP" w:cs="Noto Sans CJK JP"/>
      <w:b/>
      <w:bCs/>
    </w:rPr>
  </w:style>
  <w:style w:type="character" w:styleId="Emphasis">
    <w:name w:val="Emphasis"/>
    <w:basedOn w:val="DefaultParagraphFont"/>
    <w:uiPriority w:val="20"/>
    <w:qFormat/>
    <w:rsid w:val="00FC693F"/>
    <w:rPr>
      <w:rFonts w:ascii="Noto Sans CJK JP" w:eastAsia="Noto Sans CJK JP" w:hAnsi="Noto Sans CJK JP" w:cs="Noto Sans CJK JP"/>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CJK JP" w:hAnsi="Noto Sans CJK JP" w:eastAsia="Noto Sans CJK JP" w:cs="Noto Sans CJK JP"/>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CJK JP" w:eastAsia="Noto Sans CJK JP" w:hAnsi="Noto Sans CJK JP" w:cs="Noto Sans CJK JP"/>
      <w:b/>
      <w:bCs/>
      <w:i/>
      <w:iCs/>
      <w:color w:val="4F81BD" w:themeColor="accent1"/>
    </w:rPr>
  </w:style>
  <w:style w:type="character" w:styleId="SubtleEmphasis">
    <w:name w:val="Subtle Emphasis"/>
    <w:basedOn w:val="DefaultParagraphFont"/>
    <w:uiPriority w:val="19"/>
    <w:qFormat/>
    <w:rsid w:val="00FC693F"/>
    <w:rPr>
      <w:rFonts w:ascii="Noto Sans CJK JP" w:eastAsia="Noto Sans CJK JP" w:hAnsi="Noto Sans CJK JP" w:cs="Noto Sans CJK JP"/>
      <w:i/>
      <w:iCs/>
      <w:color w:val="808080" w:themeColor="text1" w:themeTint="7F"/>
    </w:rPr>
  </w:style>
  <w:style w:type="character" w:styleId="IntenseEmphasis">
    <w:name w:val="Intense Emphasis"/>
    <w:basedOn w:val="DefaultParagraphFont"/>
    <w:uiPriority w:val="21"/>
    <w:qFormat/>
    <w:rsid w:val="00FC693F"/>
    <w:rPr>
      <w:rFonts w:ascii="Noto Sans CJK JP" w:eastAsia="Noto Sans CJK JP" w:hAnsi="Noto Sans CJK JP" w:cs="Noto Sans CJK JP"/>
      <w:b/>
      <w:bCs/>
      <w:i/>
      <w:iCs/>
      <w:color w:val="4F81BD" w:themeColor="accent1"/>
    </w:rPr>
  </w:style>
  <w:style w:type="character" w:styleId="SubtleReference">
    <w:name w:val="Subtle Reference"/>
    <w:basedOn w:val="DefaultParagraphFont"/>
    <w:uiPriority w:val="31"/>
    <w:qFormat/>
    <w:rsid w:val="00FC693F"/>
    <w:rPr>
      <w:rFonts w:ascii="Noto Sans CJK JP" w:eastAsia="Noto Sans CJK JP" w:hAnsi="Noto Sans CJK JP" w:cs="Noto Sans CJK JP"/>
      <w:smallCaps/>
      <w:color w:val="C0504D" w:themeColor="accent2"/>
      <w:u w:val="single"/>
    </w:rPr>
  </w:style>
  <w:style w:type="character" w:styleId="IntenseReference">
    <w:name w:val="Intense Reference"/>
    <w:basedOn w:val="DefaultParagraphFont"/>
    <w:uiPriority w:val="32"/>
    <w:qFormat/>
    <w:rsid w:val="00FC693F"/>
    <w:rPr>
      <w:rFonts w:ascii="Noto Sans CJK JP" w:eastAsia="Noto Sans CJK JP" w:hAnsi="Noto Sans CJK JP" w:cs="Noto Sans CJK JP"/>
      <w:b/>
      <w:bCs/>
      <w:smallCaps/>
      <w:color w:val="C0504D" w:themeColor="accent2"/>
      <w:spacing w:val="5"/>
      <w:u w:val="single"/>
    </w:rPr>
  </w:style>
  <w:style w:type="character" w:styleId="BookTitle">
    <w:name w:val="Book Title"/>
    <w:basedOn w:val="DefaultParagraphFont"/>
    <w:uiPriority w:val="33"/>
    <w:qFormat/>
    <w:rsid w:val="00FC693F"/>
    <w:rPr>
      <w:rFonts w:ascii="Noto Sans CJK JP" w:eastAsia="Noto Sans CJK JP" w:hAnsi="Noto Sans CJK JP" w:cs="Noto Sans CJK JP"/>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JP" w:hAnsi="Noto Sans CJK JP" w:eastAsia="Noto Sans CJK JP" w:cs="Noto Sans CJK JP"/>
    </w:rPr>
  </w:style>
  <w:style w:type="table" w:styleId="TableGrid">
    <w:name w:val="Table Grid"/>
    <w:basedOn w:val="TableNormal"/>
    <w:uiPriority w:val="59"/>
    <w:rsid w:val="00FC693F"/>
    <w:pPr>
      <w:spacing w:after="0" w:line="240" w:lineRule="auto"/>
    </w:pPr>
    <w:rPr>
      <w:rFonts w:ascii="Noto Sans CJK JP" w:hAnsi="Noto Sans CJK JP" w:eastAsia="Noto Sans CJK JP" w:cs="Noto Sans CJK 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Noto Sans CJK JP" w:hAnsi="Noto Sans CJK JP" w:eastAsia="Noto Sans CJK JP" w:cs="Noto Sans CJK JP"/>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ans CJK JP" w:hAnsi="Noto Sans CJK JP" w:eastAsia="Noto Sans CJK JP" w:cs="Noto Sans CJK JP"/>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ans CJK JP" w:hAnsi="Noto Sans CJK JP" w:eastAsia="Noto Sans CJK JP" w:cs="Noto Sans CJK JP"/>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ans CJK JP" w:hAnsi="Noto Sans CJK JP" w:eastAsia="Noto Sans CJK JP" w:cs="Noto Sans CJK JP"/>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ans CJK JP" w:hAnsi="Noto Sans CJK JP" w:eastAsia="Noto Sans CJK JP" w:cs="Noto Sans CJK JP"/>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ans CJK JP" w:hAnsi="Noto Sans CJK JP" w:eastAsia="Noto Sans CJK JP" w:cs="Noto Sans CJK JP"/>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ans CJK JP" w:hAnsi="Noto Sans CJK JP" w:eastAsia="Noto Sans CJK JP" w:cs="Noto Sans CJK JP"/>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oto Sans CJK JP" w:hAnsi="Noto Sans CJK JP" w:eastAsia="Noto Sans CJK JP" w:cs="Noto Sans CJK 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oto Sans CJK JP" w:hAnsi="Noto Sans CJK JP" w:eastAsia="Noto Sans CJK JP" w:cs="Noto Sans CJK JP"/>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Yu Gothic UI" w:eastAsia="Yu Gothic UI" w:hAnsi="Yu Gothic UI" w:cs="Yu Gothic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Yu Gothic UI" w:eastAsia="Yu Gothic UI" w:hAnsi="Yu Gothic UI" w:cs="Yu Gothic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Yu Gothic UI" w:eastAsia="Yu Gothic UI" w:hAnsi="Yu Gothic UI" w:cs="Yu Gothic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Yu Gothic UI" w:eastAsia="Yu Gothic UI" w:hAnsi="Yu Gothic UI" w:cs="Yu Gothic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Yu Gothic UI" w:eastAsia="Yu Gothic UI" w:hAnsi="Yu Gothic UI" w:cs="Yu Gothic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Yu Gothic UI" w:eastAsia="Yu Gothic UI" w:hAnsi="Yu Gothic UI" w:cs="Yu Gothic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Yu Gothic UI" w:eastAsia="Yu Gothic UI" w:hAnsi="Yu Gothic UI" w:cs="Yu Gothic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Yu Gothic UI" w:eastAsia="Yu Gothic UI" w:hAnsi="Yu Gothic UI" w:cs="Yu Gothic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Yu Gothic UI" w:eastAsia="Yu Gothic UI" w:hAnsi="Yu Gothic UI" w:cs="Yu Gothic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Yu Gothic UI" w:eastAsia="Yu Gothic UI" w:hAnsi="Yu Gothic UI" w:cs="Yu Gothic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Yu Gothic UI" w:eastAsia="Yu Gothic UI" w:hAnsi="Yu Gothic UI" w:cs="Yu Gothic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Yu Gothic UI" w:eastAsia="Yu Gothic UI" w:hAnsi="Yu Gothic UI" w:cs="Yu Gothic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Yu Gothic UI" w:eastAsia="Yu Gothic UI" w:hAnsi="Yu Gothic UI" w:cs="Yu Gothic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Yu Gothic UI" w:eastAsia="Yu Gothic UI" w:hAnsi="Yu Gothic UI" w:cs="Yu Gothic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Yu Gothic UI" w:eastAsia="Yu Gothic UI" w:hAnsi="Yu Gothic UI" w:cs="Yu Gothic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Yu Gothic UI" w:eastAsia="Yu Gothic UI" w:hAnsi="Yu Gothic UI" w:cs="Yu Gothic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Yu Gothic UI" w:eastAsia="Yu Gothic UI" w:hAnsi="Yu Gothic UI" w:cs="Yu Gothic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Yu Gothic UI" w:eastAsia="Yu Gothic UI" w:hAnsi="Yu Gothic UI" w:cs="Yu Gothic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Yu Gothic UI" w:eastAsia="Yu Gothic UI" w:hAnsi="Yu Gothic UI" w:cs="Yu Gothic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Yu Gothic UI" w:eastAsia="Yu Gothic UI" w:hAnsi="Yu Gothic UI" w:cs="Yu Gothic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Yu Gothic UI" w:eastAsia="Yu Gothic UI" w:hAnsi="Yu Gothic UI" w:cs="Yu Gothic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066F"/>
    <w:rPr>
      <w:rFonts w:ascii="Noto Sans CJK JP" w:hAnsi="Noto Sans CJK JP" w:eastAsia="Noto Sans CJK JP" w:cs="Noto Sans CJK JP"/>
    </w:rPr>
  </w:style>
  <w:style w:type="paragraph" w:styleId="TOC2">
    <w:name w:val="toc 2"/>
    <w:basedOn w:val="Normal"/>
    <w:next w:val="Normal"/>
    <w:autoRedefine/>
    <w:uiPriority w:val="39"/>
    <w:unhideWhenUsed/>
    <w:rsid w:val="00C1066F"/>
    <w:pPr>
      <w:ind w:left="210"/>
    </w:pPr>
    <w:rPr>
      <w:rFonts w:ascii="Noto Sans CJK JP" w:hAnsi="Noto Sans CJK JP" w:eastAsia="Noto Sans CJK JP" w:cs="Noto Sans CJK JP"/>
    </w:rPr>
  </w:style>
  <w:style w:type="paragraph" w:styleId="TOC3">
    <w:name w:val="toc 3"/>
    <w:basedOn w:val="Normal"/>
    <w:next w:val="Normal"/>
    <w:autoRedefine/>
    <w:uiPriority w:val="39"/>
    <w:unhideWhenUsed/>
    <w:rsid w:val="00C1066F"/>
    <w:pPr>
      <w:ind w:left="420"/>
    </w:pPr>
    <w:rPr>
      <w:rFonts w:ascii="Noto Sans CJK JP" w:hAnsi="Noto Sans CJK JP" w:eastAsia="Noto Sans CJK JP" w:cs="Noto Sans CJK JP"/>
    </w:rPr>
  </w:style>
  <w:style w:type="character" w:styleId="Hyperlink">
    <w:name w:val="Hyperlink"/>
    <w:basedOn w:val="DefaultParagraphFont"/>
    <w:uiPriority w:val="99"/>
    <w:unhideWhenUsed/>
    <w:rsid w:val="00C1066F"/>
    <w:rPr>
      <w:rFonts w:ascii="Noto Sans CJK JP" w:eastAsia="Noto Sans CJK JP" w:hAnsi="Noto Sans CJK JP" w:cs="Noto Sans CJK JP"/>
      <w:color w:val="0000FF" w:themeColor="hyperlink"/>
      <w:u w:val="single"/>
    </w:rPr>
  </w:style>
  <w:style w:type="paragraph" w:styleId="TOC4">
    <w:name w:val="toc 4"/>
    <w:basedOn w:val="Normal"/>
    <w:next w:val="Normal"/>
    <w:autoRedefine/>
    <w:uiPriority w:val="39"/>
    <w:unhideWhenUsed/>
    <w:rsid w:val="009A389C"/>
    <w:pPr>
      <w:spacing w:line="278" w:lineRule="auto"/>
      <w:ind w:left="72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paragraph" w:styleId="TOC5">
    <w:name w:val="toc 5"/>
    <w:basedOn w:val="Normal"/>
    <w:next w:val="Normal"/>
    <w:autoRedefine/>
    <w:uiPriority w:val="39"/>
    <w:unhideWhenUsed/>
    <w:rsid w:val="009A389C"/>
    <w:pPr>
      <w:spacing w:line="278" w:lineRule="auto"/>
      <w:ind w:left="96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paragraph" w:styleId="TOC6">
    <w:name w:val="toc 6"/>
    <w:basedOn w:val="Normal"/>
    <w:next w:val="Normal"/>
    <w:autoRedefine/>
    <w:uiPriority w:val="39"/>
    <w:unhideWhenUsed/>
    <w:rsid w:val="009A389C"/>
    <w:pPr>
      <w:spacing w:line="278" w:lineRule="auto"/>
      <w:ind w:left="120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paragraph" w:styleId="TOC7">
    <w:name w:val="toc 7"/>
    <w:basedOn w:val="Normal"/>
    <w:next w:val="Normal"/>
    <w:autoRedefine/>
    <w:uiPriority w:val="39"/>
    <w:unhideWhenUsed/>
    <w:rsid w:val="009A389C"/>
    <w:pPr>
      <w:spacing w:line="278" w:lineRule="auto"/>
      <w:ind w:left="144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paragraph" w:styleId="TOC8">
    <w:name w:val="toc 8"/>
    <w:basedOn w:val="Normal"/>
    <w:next w:val="Normal"/>
    <w:autoRedefine/>
    <w:uiPriority w:val="39"/>
    <w:unhideWhenUsed/>
    <w:rsid w:val="009A389C"/>
    <w:pPr>
      <w:spacing w:line="278" w:lineRule="auto"/>
      <w:ind w:left="168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paragraph" w:styleId="TOC9">
    <w:name w:val="toc 9"/>
    <w:basedOn w:val="Normal"/>
    <w:next w:val="Normal"/>
    <w:autoRedefine/>
    <w:uiPriority w:val="39"/>
    <w:unhideWhenUsed/>
    <w:rsid w:val="009A389C"/>
    <w:pPr>
      <w:spacing w:line="278" w:lineRule="auto"/>
      <w:ind w:left="192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character" w:styleId="UnresolvedMention">
    <w:name w:val="Unresolved Mention"/>
    <w:basedOn w:val="DefaultParagraphFont"/>
    <w:uiPriority w:val="99"/>
    <w:semiHidden/>
    <w:unhideWhenUsed/>
    <w:rsid w:val="009A389C"/>
    <w:rPr>
      <w:rFonts w:ascii="Noto Sans CJK JP" w:hAnsi="Noto Sans CJK JP" w:eastAsia="Noto Sans CJK JP" w:cs="Noto Sans CJK JP"/>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WebSettings" Type="http://schemas.openxmlformats.org/officeDocument/2006/relationships/webSettings" Target="webSettings.xml"/><Relationship Id="rIdFontTable" Type="http://schemas.openxmlformats.org/officeDocument/2006/relationships/fontTable" Target="fontTable.xml"/><Relationship Id="rIdTheme" Type="http://schemas.openxmlformats.org/officeDocument/2006/relationships/theme" Target="theme/theme1.xml"/><Relationship Id="rIdNumbering" Type="http://schemas.openxmlformats.org/officeDocument/2006/relationships/numbering" Target="numbering.xml"/><Relationship Id="rIdFootnotes" Type="http://schemas.openxmlformats.org/officeDocument/2006/relationships/footnotes" Target="footnotes.xml"/><Relationship Id="rIdEndnotes" Type="http://schemas.openxmlformats.org/officeDocument/2006/relationships/endnotes" Target="endnotes.xml"/><Relationship Id="rIdHeader1" Type="http://schemas.openxmlformats.org/officeDocument/2006/relationships/header" Target="header1.xml"/><Relationship Id="rIdFooter1" Type="http://schemas.openxmlformats.org/officeDocument/2006/relationships/footer" Target="footer1.xml"/><Relationship Id="rIdHeaderCover" Type="http://schemas.openxmlformats.org/officeDocument/2006/relationships/header" Target="header2.xml"/><Relationship Id="rIdFooterCover" Type="http://schemas.openxmlformats.org/officeDocument/2006/relationships/footer" Target="footer2.xml"/><Relationship Id="rId1" Type="http://schemas.openxmlformats.org/officeDocument/2006/relationships/hyperlink" Target="https://github.com/yang-jiayi/furusato-fabric-workshop/blob/main/docs/v3.0.0/current/README.md" TargetMode="External"/><Relationship Id="rId2" Type="http://schemas.openxmlformats.org/officeDocument/2006/relationships/hyperlink" Target="https://github.com/yang-jiayi/furusato-fabric-workshop/blob/main/workshop/v3.0.0-preview/data-agent/candidates/measured-contract-20261009/README.md" TargetMode="External"/><Relationship Id="rId3" Type="http://schemas.openxmlformats.org/officeDocument/2006/relationships/hyperlink" Target="https://github.com/yang-jiayi/furusato-fabric-workshop/blob/main/docs/v3.0.0/tuning-20261010/calibration-and-proofreading.md" TargetMode="External"/><Relationship Id="rId4" Type="http://schemas.openxmlformats.org/officeDocument/2006/relationships/hyperlink" Target="https://github.com/yang-jiayi/furusato-fabric-workshop/blob/main/docs/v3.0.0/tuning-20261010/result-20261010.json" TargetMode="External"/><Relationship Id="rId5" Type="http://schemas.openxmlformats.org/officeDocument/2006/relationships/hyperlink" Target="https://github.com/yang-jiayi/furusato-fabric-workshop/blob/main/docs/v3.0.0/tuning-20261010/furusato-data-agent-tuning-20261010.docx" TargetMode="External"/><Relationship Id="rId6" Type="http://schemas.openxmlformats.org/officeDocument/2006/relationships/hyperlink" Target="https://github.com/yang-jiayi/furusato-fabric-workshop/blob/main/docs/v3.0.0/tuning-20261010/furusato-data-agent-tuning-20261010.html" TargetMode="External"/><Relationship Id="rId7" Type="http://schemas.openxmlformats.org/officeDocument/2006/relationships/hyperlink" Target="https://github.com/yang-jiayi/furusato-fabric-workshop/blob/main/tools/docs/build_measured_tuning_report.py" TargetMode="External"/><Relationship Id="rId8" Type="http://schemas.openxmlformats.org/officeDocument/2006/relationships/hyperlink" Target="https://github.com/yang-jiayi/furusato-fabric-workshop/blob/main/docs/v3.0.0/tuning-20261010/README.md" TargetMode="External"/><Relationship Id="rId9" Type="http://schemas.openxmlformats.org/officeDocument/2006/relationships/hyperlink" Target="https://github.com/yang-jiayi/furusato-fabric-workshop/blob/main/tools/docs/README.md" TargetMode="External"/><Relationship Id="rId10" Type="http://schemas.openxmlformats.org/officeDocument/2006/relationships/hyperlink" Target="https://github.com/yang-jiayi/furusato-fabric-workshop/blob/main/tools/html/README.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ajorFont>
      <a:min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Furusato Data Agent measured improvements and calibration — 2026-10-10</dc:title>
  <dc:subject>Bounded content measurements and workshop proofreading procedure</dc:subject>
  <dc:creator>Furusato Fabric Workshop</dc:creator>
  <cp:keywords/>
  <dc:description/>
  <cp:lastModifiedBy>Furusato Fabric Workshop</cp:lastModifiedBy>
  <cp:revision>1</cp:revision>
  <dcterms:created xsi:type="dcterms:W3CDTF">2026-10-09T20:37:06Z</dcterms:created>
  <dcterms:modified xsi:type="dcterms:W3CDTF">2026-10-09T20:37:06Z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2026-08-14T00:00:00Z</vt:lpwstr>
  </property>
  <property fmtid="{D5CDD505-2E9C-101B-9397-08002B2CF9AE}" pid="4" name="MSIP_Label_f42aa342-8706-4288-bd11-ebb85995028c_Method">
    <vt:lpwstr>Privileged</vt:lpwstr>
  </property>
  <property fmtid="{D5CDD505-2E9C-101B-9397-08002B2CF9AE}" pid="5" name="MSIP_Label_f42aa342-8706-4288-bd11-ebb85995028c_Name">
    <vt:lpwstr>General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ContentBits">
    <vt:lpwstr>0</vt:lpwstr>
  </property>
</Properties>
</file>